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Terah Partridge</w:t>
      </w:r>
    </w:p>
    <w:p w:rsidR="00000000" w:rsidDel="00000000" w:rsidP="00000000" w:rsidRDefault="00000000" w:rsidRPr="00000000" w14:paraId="00000002">
      <w:pPr>
        <w:rPr/>
      </w:pPr>
      <w:r w:rsidDel="00000000" w:rsidR="00000000" w:rsidRPr="00000000">
        <w:rPr>
          <w:rtl w:val="0"/>
        </w:rPr>
        <w:t xml:space="preserve">5/14/26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u w:val="single"/>
        </w:rPr>
      </w:pPr>
      <w:r w:rsidDel="00000000" w:rsidR="00000000" w:rsidRPr="00000000">
        <w:rPr>
          <w:u w:val="single"/>
          <w:rtl w:val="0"/>
        </w:rPr>
        <w:t xml:space="preserve">Cultural Diversity Reflection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My understanding of cultural diversity has grown substantially throughout my development as a counselor-in-training. Revisiting my Social and Cultural Diversity Analysis from CNL-509 allowed me to reflect not only on my original perspectives, but also on the growth that has occurred through coursework, supervision, internship experiences, and ongoing self-reflection. Early in the program, I primarily viewed multicultural competence as learning about different cultural groups and recognizing how bias could impact the counseling relationship. Through continued clinical experience, I now understand multicultural competence as a lifelong process that requires humility, self-awareness, advocacy, and intentional reflection.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One purposeful revision I made to this artifact involved broadening my understanding of culture itself. Initially, I focused heavily on race and ethnicity when considering diversity. However, my experiences throughout the program helped me recognize that culture extends far beyond those dimensions. I now understand that “...it is a multi-layered concept influenced by a range of issues such as gender, class, religion, language, and nationality, just to name a few” (Gopalkrishnan, 2018). This shift in perspective has strengthened my ability to view clients holistically and remain mindful of the many factors that shape identity, worldview, communication styles, and lived experiences.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Another important area of growth involved developing greater awareness of systemic oppression, privilege, and the impact of historical trauma on mental health. In my original artifact, I discussed discrimination, racial microaggressions, and healthcare disparities. Since completing that assignment, my internship experiences have deepened my understanding of how socioeconomic status, trauma, family systems, spirituality, disability, and cultural identity intersect within the counseling process. I have learned the importance of approaching each client with curiosity rather than assumption and allowing clients to define their own experiences and identities.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My theoretical orientation, particularly my frequent use of Internal Family Systems (IFS), has further strengthened my multicultural awareness. IFS encourages counselors to approach clients from a compassionate and nonjudgmental stance while recognizing that protective behaviors often develop within cultural, familial, and environmental contexts. This framework has helped me better understand how generational experiences, societal expectations, and cultural values influence clients’ internal systems and coping strategies.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Supervision and self-evaluation have also played a significant role in my growth. I have learned that multicultural competence is not achieved through a single course or training but through continual reflection, consultation, education, and openness to feedback. One concept that strongly resonates with my development as a counselor is: “One route to increasing multicultural competence of providers is to provide ongoing consultation that centers on multicultural factors that impact the clinical presentation and affect treatment engagement” (Nagy et al., 2019). This reflects the importance of supervision and ongoing professional development in strengthening culturally responsive practice.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Throughout my internship experiences, I have become increasingly aware of the importance of adapting communication styles, interventions, and treatment approaches to meet the unique cultural needs of clients. I strive to create a therapeutic environment where clients feel respected, understood, and safe expressing all aspects of their identities. I have also learned the importance of recognizing my own limitations and seeking consultation, education, and supervision when working with populations or experiences outside my own lived experience.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As I continue developing professionally, I hope to further strengthen my advocacy skills and deepen my understanding of working with clients from backgrounds different from my own. I also want to continue examining areas where bias, privilege, or limited exposure may unintentionally influence my clinical perspective. Ongoing self-reflection and cultural humility will remain essential components of my professional identity as a counselor.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dispositional value aligns closely with ACA Code of Ethics standards A.4.b, A.11.b, and E.8, which emphasize cultural sensitivity, counselor self-awareness, and culturally appropriate assessment practices. It also reflects CACREP standards 2.F.2.d, 2.F.2.e, and 2.F.2.h through the development of multicultural counseling competencies, understanding systemic barriers, and implementing culturally responsive counseling strategies.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Reference:</w:t>
        <w:br w:type="textWrapping"/>
      </w:r>
    </w:p>
    <w:p w:rsidR="00000000" w:rsidDel="00000000" w:rsidP="00000000" w:rsidRDefault="00000000" w:rsidRPr="00000000" w14:paraId="0000001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Gopalkrishnan, N. (2018). Cultural diversity and mental health: Considerations for policy and practice. </w:t>
      </w:r>
      <w:r w:rsidDel="00000000" w:rsidR="00000000" w:rsidRPr="00000000">
        <w:rPr>
          <w:rFonts w:ascii="Times New Roman" w:cs="Times New Roman" w:eastAsia="Times New Roman" w:hAnsi="Times New Roman"/>
          <w:i w:val="1"/>
          <w:iCs w:val="1"/>
          <w:sz w:val="24"/>
          <w:szCs w:val="24"/>
          <w:rtl w:val="0"/>
        </w:rPr>
        <w:t xml:space="preserve">Frontiers in Public Health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(179).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https://doi.org/10.3389/fpubh.2018.00179</w:t>
        </w:r>
      </w:hyperlink>
      <w:r w:rsidDel="00000000" w:rsidR="00000000" w:rsidRPr="00000000">
        <w:rPr>
          <w:rtl w:val="0"/>
        </w:rPr>
      </w:r>
    </w:p>
    <w:p w:rsidR="00000000" w:rsidDel="00000000" w:rsidP="00000000" w:rsidRDefault="00000000" w:rsidRPr="00000000" w14:paraId="00000018">
      <w:pPr>
        <w:spacing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3389/fpubh.2018.00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