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Terah Partridge</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6/1/26</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Reflection: </w:t>
      </w:r>
      <w:r w:rsidDel="00000000" w:rsidR="00000000" w:rsidRPr="00000000">
        <w:rPr>
          <w:rFonts w:ascii="Times New Roman" w:cs="Times New Roman" w:eastAsia="Times New Roman" w:hAnsi="Times New Roman"/>
          <w:color w:val="212121"/>
          <w:sz w:val="24"/>
          <w:szCs w:val="24"/>
          <w:highlight w:val="white"/>
          <w:u w:val="single"/>
          <w:rtl w:val="0"/>
        </w:rPr>
        <w:t xml:space="preserve">Ethics in Psychological Assessments Paper (CNL-523)</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 reflected on the dispositional value of flexibility, I recognized how much my understanding of ethical assessment practices has evolved throughout the CMHC program. The artifact I selected for this reflection, my “Ethics in Psychological Assessments” paper, demonstrates my developing ability to adapt clinical thinking, assessment approaches, and professional decision making to meet the unique needs of each client. Through revisions and continued learning, I strengthened my understanding that flexibility in counseling does not mean inconsistency. Instead, it requires responsiveness, cultural humility, ethical discernment, and the willingness to adjust clinical approaches based on the individual needs and lived experiences of clients.</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revising this artifact, I expanded my discussion of cultural competence and the importance of selecting assessments that align with a client’s developmental level, cultural background, and presenting concerns. Earlier in the program, I viewed assessments primarily as standardized tools designed to gather information. As my clinical training progressed, I developed a deeper understanding of the ethical responsibility counselors have when interpreting assessment results within the broader context of a client’s identity, environment, and experiences. I revised sections of the paper to more clearly explain how rigid or generalized assessment practices can contribute to misdiagnosis, ineffective treatment planning, and harm to marginalized populations. These revisions reflected growth in my ability to think critically and respond flexibly rather than relying on standardized assumptions.</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internship experiences further strengthened my understanding of flexibility in clinical practice. I have worked with clients whose developmental levels, emotional regulation abilities, communication styles, and cultural backgrounds required me to continually adjust interventions, pacing, and therapeutic techniques. I learned that effective counseling often requires modifying approaches in real time while still maintaining ethical standards and treatment goals. For example, some clients responded well to structured CBT interventions, while others required a more relational, person centered, or experiential approach before cognitive interventions became effective. My growing use of Internal Family Systems informed this flexibility by helping me recognize that clients may present differently depending on emotional activation, safety, and internal protective responses.</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artifact also helped me recognize the connection between flexibility and ethical responsibility. Ethical counseling requires clinicians to remain open to new information, challenge assumptions, and adapt interventions when existing approaches are ineffective or culturally inappropriate. According to the APA Ethics Code Standard 9.01b (Bases for Assessments), psychologists provide opinions of the psychological characteristics of individuals only after they have conducted an examination of the individuals adequate to support their statements or conclusions (Fleming, 2020). This quote reinforced my understanding that counselors must avoid rigid conclusions or premature interpretations. Ethical flexibility requires counselors to gather sufficient information, consider contextual factors, and remain aware of the limitations of assessment tools and personal bias.</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 from instructors encouraged me to deepen my analysis of multicultural considerations and strengthen the connection between ethics and professional practice. In response, I revised the artifact to include more discussion regarding culturally responsive assessment practices, validity concerns across diverse populations, and the ethical obligation counselors have to seek supervision or additional training when necessary. These revisions demonstrated growth in both self awareness and professional competency. I became more intentional about evaluating not only whether an assessment is technically appropriate, but also whether it accurately reflects the client’s lived experience.</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counselor in training, I continue to develop flexibility by learning to tolerate ambiguity, adapt interventions thoughtfully, and remain responsive to client needs without compromising ethical standards. I recognize that flexibility also requires ongoing self evaluation and openness to feedback. Moving forward, I want to continue strengthening my competence in culturally responsive assessment practices, trauma informed care, and integrative therapeutic approaches that allow me to tailor treatment more effectively for diverse client populations.</w:t>
      </w:r>
    </w:p>
    <w:p w:rsidR="00000000" w:rsidDel="00000000" w:rsidP="00000000" w:rsidRDefault="00000000" w:rsidRPr="00000000" w14:paraId="0000000C">
      <w:pPr>
        <w:rPr/>
      </w:pPr>
      <w:r w:rsidDel="00000000" w:rsidR="00000000" w:rsidRPr="00000000">
        <w:rPr>
          <w:rtl w:val="0"/>
        </w:rPr>
        <w:t xml:space="preserve">Reference: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Fleming, M. N. (2020). Considerations for the ethical implementation of psychological assessment through social media via machine learning. </w:t>
      </w:r>
      <w:r w:rsidDel="00000000" w:rsidR="00000000" w:rsidRPr="00000000">
        <w:rPr>
          <w:rFonts w:ascii="Times New Roman" w:cs="Times New Roman" w:eastAsia="Times New Roman" w:hAnsi="Times New Roman"/>
          <w:i w:val="1"/>
          <w:iCs w:val="1"/>
          <w:sz w:val="24"/>
          <w:szCs w:val="24"/>
          <w:rtl w:val="0"/>
        </w:rPr>
        <w:t xml:space="preserve">Ethics &amp; Behavior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31</w:t>
      </w:r>
      <w:r w:rsidDel="00000000" w:rsidR="00000000" w:rsidRPr="00000000">
        <w:rPr>
          <w:rFonts w:ascii="Times New Roman" w:cs="Times New Roman" w:eastAsia="Times New Roman" w:hAnsi="Times New Roman"/>
          <w:sz w:val="24"/>
          <w:szCs w:val="24"/>
          <w:rtl w:val="0"/>
        </w:rPr>
        <w:t xml:space="preserve">(3), 1–12. </w:t>
      </w:r>
      <w:hyperlink r:id="rId6">
        <w:r w:rsidDel="00000000" w:rsidR="00000000" w:rsidRPr="00000000">
          <w:rPr>
            <w:rFonts w:ascii="Times New Roman" w:cs="Times New Roman" w:eastAsia="Times New Roman" w:hAnsi="Times New Roman"/>
            <w:color w:val="1155cc"/>
            <w:sz w:val="24"/>
            <w:szCs w:val="24"/>
            <w:u w:val="single"/>
            <w:rtl w:val="0"/>
          </w:rPr>
          <w:t xml:space="preserve">https://doi.org/10.1080/10508422.2020.1817026</w:t>
        </w:r>
      </w:hyperlink>
      <w:r w:rsidDel="00000000" w:rsidR="00000000" w:rsidRPr="00000000">
        <w:rPr>
          <w:rtl w:val="0"/>
        </w:rPr>
      </w:r>
    </w:p>
    <w:p w:rsidR="00000000" w:rsidDel="00000000" w:rsidP="00000000" w:rsidRDefault="00000000" w:rsidRPr="00000000" w14:paraId="0000000F">
      <w:pPr>
        <w:spacing w:line="48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80/10508422.2020.1817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