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Biopsychosocial Assessment</w:t>
      </w:r>
    </w:p>
    <w:p w:rsidR="00000000" w:rsidDel="00000000" w:rsidP="00000000" w:rsidRDefault="00000000" w:rsidRPr="00000000" w14:paraId="00000007">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Terah Partridge</w:t>
      </w:r>
    </w:p>
    <w:p w:rsidR="00000000" w:rsidDel="00000000" w:rsidP="00000000" w:rsidRDefault="00000000" w:rsidRPr="00000000" w14:paraId="00000009">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Clinical Mental Health Counseling, Grand Canyon University</w:t>
      </w:r>
    </w:p>
    <w:p w:rsidR="00000000" w:rsidDel="00000000" w:rsidP="00000000" w:rsidRDefault="00000000" w:rsidRPr="00000000" w14:paraId="0000000A">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CNL 605: Psychopathology</w:t>
      </w:r>
    </w:p>
    <w:p w:rsidR="00000000" w:rsidDel="00000000" w:rsidP="00000000" w:rsidRDefault="00000000" w:rsidRPr="00000000" w14:paraId="0000000B">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Charlotte Phillips</w:t>
      </w:r>
    </w:p>
    <w:p w:rsidR="00000000" w:rsidDel="00000000" w:rsidP="00000000" w:rsidRDefault="00000000" w:rsidRPr="00000000" w14:paraId="0000000C">
      <w:pPr>
        <w:spacing w:line="480" w:lineRule="auto"/>
        <w:jc w:val="center"/>
        <w:rPr>
          <w:rFonts w:ascii="Times New Roman" w:cs="Times New Roman" w:eastAsia="Times New Roman" w:hAnsi="Times New Roman"/>
        </w:rPr>
        <w:sectPr>
          <w:headerReference r:id="rId7" w:type="default"/>
          <w:headerReference r:id="rId8" w:type="first"/>
          <w:headerReference r:id="rId9" w:type="even"/>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rtl w:val="0"/>
        </w:rPr>
        <w:t xml:space="preserve">8/15/2025</w:t>
        <w:br w:type="textWrapping"/>
      </w:r>
    </w:p>
    <w:p w:rsidR="00000000" w:rsidDel="00000000" w:rsidP="00000000" w:rsidRDefault="00000000" w:rsidRPr="00000000" w14:paraId="0000000D">
      <w:pPr>
        <w:spacing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Biopsychosocial Assessment</w:t>
      </w:r>
    </w:p>
    <w:p w:rsidR="00000000" w:rsidDel="00000000" w:rsidP="00000000" w:rsidRDefault="00000000" w:rsidRPr="00000000" w14:paraId="0000000E">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intake session between Josh and Amy Wenzel, several foundational counseling skills were effectively demonstrated to create a supportive and collaborative therapeutic environment. Dr. Wenzel consistently utilized active listening, empathy, and attentiveness, which were evident through her ability to reflect Josh’s experiences and validate his emotional distress. For instance, she described his situation as a “perfect storm,” acknowledging the convergence of multiple stressors contributing to his anxiety. This type of reflection conveyed that she was fully engaged while also helping Josh feel understood, which likely facilitated deeper disclosure (American Psychological Association [APA], 2016). Research supports this approach, indicating that empathic listening enhances psychological need satisfaction and overall well-being for clients, reinforcing its importance in early therapeutic interactions (Weinstein &amp; Itzchakov, 2025).</w:t>
      </w:r>
    </w:p>
    <w:p w:rsidR="00000000" w:rsidDel="00000000" w:rsidP="00000000" w:rsidRDefault="00000000" w:rsidRPr="00000000" w14:paraId="0000000F">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Wenzel also demonstrated strong use of clarifying questions and paraphrasing, which enhanced both understanding and clinical conceptualization. When Josh discussed his academic stress and avoidance behaviors, she summarized his experiences and connected them to cognitive behavioral concepts such as automatic thoughts and avoidance patterns. This integration of the client’s narrative with a cognitive behavioral framework facilitated greater insight while normalizing his symptoms as understandable responses within a structured model of treatment (APA, 2016). The effectiveness of this approach is further supported by research emphasizing that empathic engagement not only improves client well-being but also strengthens the therapeutic process by fostering openness and psychological safety (Weinstein &amp; Itzchakov, 2025).</w:t>
      </w:r>
    </w:p>
    <w:p w:rsidR="00000000" w:rsidDel="00000000" w:rsidP="00000000" w:rsidRDefault="00000000" w:rsidRPr="00000000" w14:paraId="00000010">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notable strength was her collaborative approach to goal setting. Dr. Wenzel explicitly invited Josh to participate in developing his treatment plan and emphasized that he was in the “driver’s seat” of therapy. This approach reinforced client autonomy while fostering a sense of partnership, which is essential for building a strong therapeutic alliance (Gerard Egan &amp; Robert Reese, 2019). Additionally, she introduced a thought record as a therapeutic tool, providing clear instructions and guided practice. This intervention served both a psychoeducational and skill-building function, supporting Josh’s engagement in the therapeutic process (APA, 2016).</w:t>
      </w:r>
    </w:p>
    <w:p w:rsidR="00000000" w:rsidDel="00000000" w:rsidP="00000000" w:rsidRDefault="00000000" w:rsidRPr="00000000" w14:paraId="00000011">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Dr. Wenzel’s use of empathic reflection, active listening, and collaborative techniques contributed to an effective and supportive intake session. Her approach reduced defensiveness, promoted openness, and established a strong foundation for the therapeutic relationship. Consistent with emerging research, empathic listening plays a central role in enhancing client well-being and fostering meaningful engagement in therapy, even if it does not directly alter deeper intrapersonal experiences (Weinstein &amp; Itzchakov, 2025). At the same time, she skillfully introduced cognitive behavioral therapy interventions in a manner that was accessible and responsive to the client’s needs (APA, 2016).</w:t>
      </w:r>
      <w:r w:rsidDel="00000000" w:rsidR="00000000" w:rsidRPr="00000000">
        <w:br w:type="page"/>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American Psychological Association. (2016). Cognitive behavioral therapy for anxiety and depression (session 1 of 6) [Video]. APA PsycTherapy. </w:t>
      </w:r>
      <w:hyperlink r:id="rId10">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https://doi.org/10.1037/v00519-001</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Egan, G., &amp; Reese, R. (2019). The skilled helper: A problem-management and opportunity-development approach to helping (11th ed.). Cengage</w:t>
      </w:r>
    </w:p>
    <w:p w:rsidR="00000000" w:rsidDel="00000000" w:rsidP="00000000" w:rsidRDefault="00000000" w:rsidRPr="00000000" w14:paraId="00000015">
      <w:pPr>
        <w:widowControl w:val="0"/>
        <w:spacing w:after="240" w:before="240" w:line="480" w:lineRule="auto"/>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Weinstein, N., &amp; Itzchakov, G. (2025). Empathic listening satisfies speakers’ psychological needs and well-being, but doesn’t directly deepen solitude experiences: A registered report. </w:t>
      </w:r>
      <w:r w:rsidDel="00000000" w:rsidR="00000000" w:rsidRPr="00000000">
        <w:rPr>
          <w:rFonts w:ascii="Times New Roman" w:cs="Times New Roman" w:eastAsia="Times New Roman" w:hAnsi="Times New Roman"/>
          <w:i w:val="1"/>
          <w:iCs w:val="1"/>
          <w:rtl w:val="0"/>
        </w:rPr>
        <w:t xml:space="preserve">Journal of Experimental Social Psychology, 117</w:t>
      </w:r>
      <w:r w:rsidDel="00000000" w:rsidR="00000000" w:rsidRPr="00000000">
        <w:rPr>
          <w:rFonts w:ascii="Times New Roman" w:cs="Times New Roman" w:eastAsia="Times New Roman" w:hAnsi="Times New Roman"/>
          <w:rtl w:val="0"/>
        </w:rPr>
        <w:t xml:space="preserve">, 104716.</w:t>
      </w:r>
      <w:hyperlink r:id="rId11">
        <w:r w:rsidDel="00000000" w:rsidR="00000000" w:rsidRPr="00000000">
          <w:rPr>
            <w:rFonts w:ascii="Times New Roman" w:cs="Times New Roman" w:eastAsia="Times New Roman" w:hAnsi="Times New Roman"/>
            <w:rtl w:val="0"/>
          </w:rPr>
          <w:t xml:space="preserve"> </w:t>
        </w:r>
      </w:hyperlink>
      <w:hyperlink r:id="rId12">
        <w:r w:rsidDel="00000000" w:rsidR="00000000" w:rsidRPr="00000000">
          <w:rPr>
            <w:rFonts w:ascii="Times New Roman" w:cs="Times New Roman" w:eastAsia="Times New Roman" w:hAnsi="Times New Roman"/>
            <w:color w:val="1155cc"/>
            <w:u w:val="single"/>
            <w:rtl w:val="0"/>
          </w:rPr>
          <w:t xml:space="preserve">https://doi.org/10.1016/j.jesp.2024.104716</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3" w:type="default"/>
      <w:type w:val="nextPage"/>
      <w:pgSz w:h="15840" w:w="12240" w:orient="portrait"/>
      <w:pgMar w:bottom="1440" w:top="1440" w:left="1440" w:right="1440" w:header="720" w:footer="72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50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Running head: ASSIGNMENT TITLE HERE     </w:t>
      <w:tab/>
      <w:tab/>
      <w:tab/>
      <w:tab/>
      <w:tab/>
      <w:tab/>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50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16/j.jesp.2024.104716" TargetMode="External"/><Relationship Id="rId10" Type="http://schemas.openxmlformats.org/officeDocument/2006/relationships/hyperlink" Target="https://doi.org/10.1037/v00519-001" TargetMode="External"/><Relationship Id="rId13" Type="http://schemas.openxmlformats.org/officeDocument/2006/relationships/header" Target="header4.xml"/><Relationship Id="rId12" Type="http://schemas.openxmlformats.org/officeDocument/2006/relationships/hyperlink" Target="https://doi.org/10.1016/j.jesp.2024.10471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WIViJ+D1GznkCqAB6AR7Ew2Q==">CgMxLjA4AHIhMWFoYnk1XzFrM09pNzdvYTFOOEtORXBPZ1N2SlZoLTF3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0x010100B9FDC2B66788A044965A7B8958E6244A</vt:lpwstr>
  </property>
  <property fmtid="{D5CDD505-2E9C-101B-9397-08002B2CF9AE}" pid="3" name="TaxKeyword">
    <vt:lpwstr>TaxKeyword</vt:lpwstr>
  </property>
  <property fmtid="{D5CDD505-2E9C-101B-9397-08002B2CF9AE}" pid="4" name="DocumentDepartment">
    <vt:lpwstr>42;#Academic Program and Course Development|59abafec-cbf5-4238-a796-a3b74278f4db</vt:lpwstr>
  </property>
  <property fmtid="{D5CDD505-2E9C-101B-9397-08002B2CF9AE}" pid="5" name="DocumentType">
    <vt:lpwstr>DocumentType</vt:lpwstr>
  </property>
  <property fmtid="{D5CDD505-2E9C-101B-9397-08002B2CF9AE}" pid="6" name="DocumentStatus">
    <vt:lpwstr>DocumentStatus</vt:lpwstr>
  </property>
  <property fmtid="{D5CDD505-2E9C-101B-9397-08002B2CF9AE}" pid="7" name="DocumentCategory">
    <vt:lpwstr>DocumentCategory</vt:lpwstr>
  </property>
  <property fmtid="{D5CDD505-2E9C-101B-9397-08002B2CF9AE}" pid="8" name="SecurityClassification">
    <vt:lpwstr>2;#Internal|98311b30-b9e9-4d4f-9f64-0688c0d4a234</vt:lpwstr>
  </property>
  <property fmtid="{D5CDD505-2E9C-101B-9397-08002B2CF9AE}" pid="9" name="DocumentSubject">
    <vt:lpwstr>DocumentSubject</vt:lpwstr>
  </property>
  <property fmtid="{D5CDD505-2E9C-101B-9397-08002B2CF9AE}" pid="10" name="DocumentBusinessValue">
    <vt:lpwstr>3;#Normal|581d4866-74cc-43f1-bef1-bb304cbfeaa5</vt:lpwstr>
  </property>
</Properties>
</file>