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Style w:val="Heading5"/>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jc w:val="center"/>
        <w:rPr>
          <w:color w:val="212121"/>
          <w:sz w:val="20"/>
          <w:szCs w:val="20"/>
        </w:rPr>
      </w:pPr>
      <w:bookmarkStart w:colFirst="0" w:colLast="0" w:name="_heading=h.dli6qd1nodny" w:id="0"/>
      <w:bookmarkEnd w:id="0"/>
      <w:r w:rsidDel="00000000" w:rsidR="00000000" w:rsidRPr="00000000">
        <w:rPr>
          <w:color w:val="212121"/>
          <w:sz w:val="20"/>
          <w:szCs w:val="20"/>
          <w:rtl w:val="0"/>
        </w:rPr>
        <w:t xml:space="preserve">Social and Cultural Diversity Analysis</w:t>
      </w:r>
    </w:p>
    <w:p w:rsidR="00000000" w:rsidDel="00000000" w:rsidP="00000000" w:rsidRDefault="00000000" w:rsidRPr="00000000" w14:paraId="00000005">
      <w:pPr>
        <w:spacing w:line="276" w:lineRule="auto"/>
        <w:jc w:val="center"/>
        <w:rPr>
          <w:b w:val="1"/>
          <w:sz w:val="22"/>
          <w:szCs w:val="22"/>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Terah Partridge</w:t>
      </w:r>
    </w:p>
    <w:p w:rsidR="00000000" w:rsidDel="00000000" w:rsidP="00000000" w:rsidRDefault="00000000" w:rsidRPr="00000000" w14:paraId="00000009">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Counseling Department, Grand Canyon University</w:t>
      </w:r>
    </w:p>
    <w:p w:rsidR="00000000" w:rsidDel="00000000" w:rsidP="00000000" w:rsidRDefault="00000000" w:rsidRPr="00000000" w14:paraId="0000000A">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CNL-509: Counseling Skills</w:t>
      </w:r>
    </w:p>
    <w:p w:rsidR="00000000" w:rsidDel="00000000" w:rsidP="00000000" w:rsidRDefault="00000000" w:rsidRPr="00000000" w14:paraId="0000000B">
      <w:pPr>
        <w:spacing w:line="48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highlight w:val="white"/>
          <w:rtl w:val="0"/>
        </w:rPr>
        <w:t xml:space="preserve">Dr. Kendra Stewart</w:t>
      </w: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rPr>
        <w:sectPr>
          <w:headerReference r:id="rId7" w:type="default"/>
          <w:headerReference r:id="rId8" w:type="first"/>
          <w:headerReference r:id="rId9" w:type="even"/>
          <w:footerReference r:id="rId10" w:type="default"/>
          <w:footerReference r:id="rId11" w:type="first"/>
          <w:pgSz w:h="15840" w:w="12240" w:orient="portrait"/>
          <w:pgMar w:bottom="1440" w:top="1440" w:left="1440" w:right="1440" w:header="720" w:footer="720"/>
          <w:pgNumType w:start="2"/>
          <w:titlePg w:val="1"/>
        </w:sectPr>
      </w:pPr>
      <w:r w:rsidDel="00000000" w:rsidR="00000000" w:rsidRPr="00000000">
        <w:rPr>
          <w:rFonts w:ascii="Times New Roman" w:cs="Times New Roman" w:eastAsia="Times New Roman" w:hAnsi="Times New Roman"/>
          <w:rtl w:val="0"/>
        </w:rPr>
        <w:t xml:space="preserve">February 20, 2024</w:t>
      </w:r>
    </w:p>
    <w:p w:rsidR="00000000" w:rsidDel="00000000" w:rsidP="00000000" w:rsidRDefault="00000000" w:rsidRPr="00000000" w14:paraId="0000000D">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w:t>
      </w:r>
      <w:r w:rsidDel="00000000" w:rsidR="00000000" w:rsidRPr="00000000">
        <w:rPr>
          <w:rFonts w:ascii="Times New Roman" w:cs="Times New Roman" w:eastAsia="Times New Roman" w:hAnsi="Times New Roman"/>
          <w:b w:val="1"/>
          <w:rtl w:val="0"/>
        </w:rPr>
        <w:t xml:space="preserve">ersonal Biases and Their Impact</w:t>
      </w:r>
    </w:p>
    <w:p w:rsidR="00000000" w:rsidDel="00000000" w:rsidP="00000000" w:rsidRDefault="00000000" w:rsidRPr="00000000" w14:paraId="0000000F">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Bias influences a counselor’s approach treating clients, making it important to acknowledge them (Greenwald et al., 2022). I was married to someone suspected of antisocial personality disorder. Therefore, I might struggle counseling antisocial individuals. This scenario is unlikely since antisocials rarely seek mental health treatment. Unfortunately, “no intervention reported compelling evidence of change in antisocial behavior” (Gibbon et al., 2020). Studies prove that counseling treatments are ineffective for this population.</w:t>
      </w:r>
    </w:p>
    <w:p w:rsidR="00000000" w:rsidDel="00000000" w:rsidP="00000000" w:rsidRDefault="00000000" w:rsidRPr="00000000" w14:paraId="00000011">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Personal History with Discrimination </w:t>
      </w:r>
    </w:p>
    <w:p w:rsidR="00000000" w:rsidDel="00000000" w:rsidP="00000000" w:rsidRDefault="00000000" w:rsidRPr="00000000" w14:paraId="00000012">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“Religious discrimination represents how religion may become problematic for health, particularly for marginalized religious groups” (Sharif et al., 2021). My experience revolved around attending a school with few other Mormons. </w:t>
      </w:r>
      <w:r w:rsidDel="00000000" w:rsidR="00000000" w:rsidRPr="00000000">
        <w:rPr>
          <w:rFonts w:ascii="Times New Roman" w:cs="Times New Roman" w:eastAsia="Times New Roman" w:hAnsi="Times New Roman"/>
          <w:color w:val="212121"/>
          <w:highlight w:val="white"/>
          <w:rtl w:val="0"/>
        </w:rPr>
        <w:t xml:space="preserve">Washington ranks as the sixth-least-religious state (Balk, 2018). I didn’t drink, smoke, or have sex, which made me conspicuous. In middle school, a boy solemnly asked me to part my hair so he could “check to see if I had horns on my head.”</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Memories of Contact with those Culturally Different</w:t>
      </w:r>
      <w:r w:rsidDel="00000000" w:rsidR="00000000" w:rsidRPr="00000000">
        <w:rPr>
          <w:rtl w:val="0"/>
        </w:rPr>
      </w:r>
    </w:p>
    <w:p w:rsidR="00000000" w:rsidDel="00000000" w:rsidP="00000000" w:rsidRDefault="00000000" w:rsidRPr="00000000" w14:paraId="00000014">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sister married into a large family from Mexico. They were family-oriented and prioritized spending time together, hosting parties and celebrations. Everyone was warm and friendly, even those we didn’t know. When we were there, we felt like part of the family. They served delicious ethnic dishes. Their culture seemed more welcoming and accepting of outsiders than my own. Although there was a language barrier, they did their best to interact. </w:t>
      </w:r>
    </w:p>
    <w:p w:rsidR="00000000" w:rsidDel="00000000" w:rsidP="00000000" w:rsidRDefault="00000000" w:rsidRPr="00000000" w14:paraId="00000015">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How Life Experience Affects the Way You Relate</w:t>
      </w:r>
    </w:p>
    <w:p w:rsidR="00000000" w:rsidDel="00000000" w:rsidP="00000000" w:rsidRDefault="00000000" w:rsidRPr="00000000" w14:paraId="00000016">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line="48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d0d0d"/>
          <w:highlight w:val="white"/>
          <w:rtl w:val="0"/>
        </w:rPr>
        <w:t xml:space="preserve">Cultural backgrounds greatly shape beliefs. Children raised by parents who promote cultural awareness are more likely to accept diversity. My mom taught childbirth education classes to teen mothers in the Tulalip tribe. I accompanied her on visits with these mothers, and  was shocked by their level of poverty. As I grew up, I learned about the plight of Native Americans, including historical trauma, healthcare disparities, cultural genocide, identity loss, social justice issues, and reduced life expectancy (Adakai et al., 2018). I realized that racial minorities do not receive the same opportunities that others enjoy. </w:t>
      </w: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Subtle Racism</w:t>
      </w: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480" w:lineRule="auto"/>
        <w:ind w:firstLine="720"/>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364152"/>
          <w:highlight w:val="white"/>
          <w:rtl w:val="0"/>
        </w:rPr>
        <w:t xml:space="preserve">Subtle racism is not explicit; it involves behaviors or actions that perpetuate racial stereotypes indirectly. An example is when someone assumes that a person is good at sports based solely on their race, without considering their individual abilities. These assumptions reinforce harmful stereotypes and contribute to systemic racism. </w:t>
      </w:r>
      <w:r w:rsidDel="00000000" w:rsidR="00000000" w:rsidRPr="00000000">
        <w:rPr>
          <w:rFonts w:ascii="Times New Roman" w:cs="Times New Roman" w:eastAsia="Times New Roman" w:hAnsi="Times New Roman"/>
          <w:color w:val="212121"/>
          <w:highlight w:val="white"/>
          <w:rtl w:val="0"/>
        </w:rPr>
        <w:t xml:space="preserve">Racial microaggressions and subtle racism are insidious, creating devastating mental-health outcomes. </w:t>
      </w:r>
      <w:r w:rsidDel="00000000" w:rsidR="00000000" w:rsidRPr="00000000">
        <w:rPr>
          <w:rFonts w:ascii="Times New Roman" w:cs="Times New Roman" w:eastAsia="Times New Roman" w:hAnsi="Times New Roman"/>
          <w:rtl w:val="0"/>
        </w:rPr>
        <w:t xml:space="preserve">“I define microaggressions as deniable acts of racism that reinforce pathological stereotypes and inequitable social norms” (Farahani et al., 2023).</w:t>
      </w:r>
      <w:r w:rsidDel="00000000" w:rsidR="00000000" w:rsidRPr="00000000">
        <w:rPr>
          <w:rtl w:val="0"/>
        </w:rPr>
      </w:r>
    </w:p>
    <w:p w:rsidR="00000000" w:rsidDel="00000000" w:rsidP="00000000" w:rsidRDefault="00000000" w:rsidRPr="00000000" w14:paraId="0000001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Differences in Members of the Same Ethnic Group</w:t>
      </w:r>
      <w:r w:rsidDel="00000000" w:rsidR="00000000" w:rsidRPr="00000000">
        <w:rPr>
          <w:rtl w:val="0"/>
        </w:rPr>
      </w:r>
    </w:p>
    <w:p w:rsidR="00000000" w:rsidDel="00000000" w:rsidP="00000000" w:rsidRDefault="00000000" w:rsidRPr="00000000" w14:paraId="0000001C">
      <w:pPr>
        <w:spacing w:line="48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364152"/>
          <w:sz w:val="22"/>
          <w:szCs w:val="22"/>
          <w:highlight w:val="white"/>
          <w:rtl w:val="0"/>
        </w:rPr>
        <w:t xml:space="preserve">Members within the same ethnic group may differ in perceptions and values due to several factors. Individual lived experiences shape attitudes towards certain issues. Additionally, varying levels of education and exposure to diverse perspectives lead to different interpretations of cultural norms. Interactions with other cultures also influence how individuals view the world. Generational gaps and influences from media contribute to divergent opinions among members of the same ethnic community.</w:t>
      </w:r>
      <w:r w:rsidDel="00000000" w:rsidR="00000000" w:rsidRPr="00000000">
        <w:rPr>
          <w:rtl w:val="0"/>
        </w:rPr>
      </w:r>
    </w:p>
    <w:p w:rsidR="00000000" w:rsidDel="00000000" w:rsidP="00000000" w:rsidRDefault="00000000" w:rsidRPr="00000000" w14:paraId="0000001D">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Specific Multicultural Codes Found in the ACA</w:t>
      </w:r>
    </w:p>
    <w:p w:rsidR="00000000" w:rsidDel="00000000" w:rsidP="00000000" w:rsidRDefault="00000000" w:rsidRPr="00000000" w14:paraId="0000001E">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spacing w:line="480" w:lineRule="auto"/>
        <w:ind w:firstLine="720"/>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One multicultural code is A.2.b., "Counselors are encouraged to recognize that cultural competence is an ongoing developmental process and to seek appropriate education, training, supervision, consultation, and experiences to develop cultural competence." This code shows importance of enhancing cultural competence through education, training, and self-reflection, which is important for me because I had limited interaction with other cultures growing up.</w:t>
      </w:r>
    </w:p>
    <w:p w:rsidR="00000000" w:rsidDel="00000000" w:rsidP="00000000" w:rsidRDefault="00000000" w:rsidRPr="00000000" w14:paraId="00000020">
      <w:pPr>
        <w:spacing w:line="480" w:lineRule="auto"/>
        <w:ind w:firstLine="720"/>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Another relevant code is A.4.b., which states, "Counselors strive to understand the nature of social diversity and oppression with respect to race, ethnicity, nationality, gender identity, sexual orientation, age, religious beliefs, disability, and other factors." This code addresses social diversity and oppression in my work with clients.</w:t>
      </w:r>
    </w:p>
    <w:p w:rsidR="00000000" w:rsidDel="00000000" w:rsidP="00000000" w:rsidRDefault="00000000" w:rsidRPr="00000000" w14:paraId="00000021">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Applying Ethical Code Considerations</w:t>
      </w:r>
    </w:p>
    <w:p w:rsidR="00000000" w:rsidDel="00000000" w:rsidP="00000000" w:rsidRDefault="00000000" w:rsidRPr="00000000" w14:paraId="00000022">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Cultural assessments should consider the client’s cultural background, values, beliefs, and identity, identifying how a client’s worldview influences their counseling needs. Then, I can integrate their cultural context into a treatment plan which includes cultural strengths, resources, and protective factors to support resilience. Interventions should be individually tailored to incorporate culturally specific rituals, symbols, and metaphors. Using a collaborative approach ensures that goals align with the client’s cultural needs. Collaborative assessment includes combining the expertise of the clinician and the viewpoint of the client; defining the problem; collaborating to assess a possible reason for the problem; checking if the reason is correct or not; and creating a treatment plan together (Derald Wing Sue et al., 2022). Assessing my own cultural awareness will help me identify biases and assumptions. </w:t>
      </w:r>
    </w:p>
    <w:p w:rsidR="00000000" w:rsidDel="00000000" w:rsidP="00000000" w:rsidRDefault="00000000" w:rsidRPr="00000000" w14:paraId="00000024">
      <w:pPr>
        <w:spacing w:line="480" w:lineRule="auto"/>
        <w:ind w:firstLine="72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I will refer clients to professionals that are culturally competent by assessing their language proficiency, cultural background, and familiarity with the client's culture. I will collaborate with clients in this process, ensuring that the new provider aligns with their cultural preferences and needs.</w:t>
      </w:r>
    </w:p>
    <w:p w:rsidR="00000000" w:rsidDel="00000000" w:rsidP="00000000" w:rsidRDefault="00000000" w:rsidRPr="00000000" w14:paraId="00000025">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Evidence-based Strategies to Build Rapport</w:t>
      </w:r>
    </w:p>
    <w:p w:rsidR="00000000" w:rsidDel="00000000" w:rsidP="00000000" w:rsidRDefault="00000000" w:rsidRPr="00000000" w14:paraId="00000026">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I will prioritize evidence-based strategies to build rapport. Attaining cultural humility is vital; this involves valuing a client’s expertise, sharing power, and committing to ongoing learning (Lekas et al., 2020). I establish trust by listening to client beliefs without imposing my own worldview, using open-ended questions to gain insight, and exploring how their cultural practices influence their goals.</w:t>
      </w:r>
    </w:p>
    <w:p w:rsidR="00000000" w:rsidDel="00000000" w:rsidP="00000000" w:rsidRDefault="00000000" w:rsidRPr="00000000" w14:paraId="00000028">
      <w:pPr>
        <w:spacing w:line="480" w:lineRule="auto"/>
        <w:ind w:firstLine="72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I will prioritize culturally responsive communication techniques, adapting my style to align with my client’s cultural norms, accommodating cultural differences and showing respect (Minnican &amp; O’Toole, 2020). This approach emphasizes empathy, active listening, and nonverbal communication in bridging cultural divides. I will be mindful of language barriers, nonverbal cues, and cultural nuances by using inclusive language and seeking feedback. Integrating these strategies fosters a supportive environment and positive outcomes.</w:t>
      </w:r>
    </w:p>
    <w:p w:rsidR="00000000" w:rsidDel="00000000" w:rsidP="00000000" w:rsidRDefault="00000000" w:rsidRPr="00000000" w14:paraId="0000002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Professional Journals on Treatment Practices</w:t>
      </w:r>
    </w:p>
    <w:p w:rsidR="00000000" w:rsidDel="00000000" w:rsidP="00000000" w:rsidRDefault="00000000" w:rsidRPr="00000000" w14:paraId="0000002A">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 Journal of Counseling Psychology explores various aspects of psychology, including cultural competence and the impact of biases on counseling practice.</w:t>
      </w:r>
    </w:p>
    <w:p w:rsidR="00000000" w:rsidDel="00000000" w:rsidP="00000000" w:rsidRDefault="00000000" w:rsidRPr="00000000" w14:paraId="0000002C">
      <w:pPr>
        <w:spacing w:line="480" w:lineRule="auto"/>
        <w:ind w:firstLine="72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 Counseling Psychologist publishes articles exploring various subjects, including acculturation, cross-cultural competency, discrimination/prejudice, ethics, ethnicity and race, gender issues, and health disparities.</w:t>
      </w:r>
    </w:p>
    <w:p w:rsidR="00000000" w:rsidDel="00000000" w:rsidP="00000000" w:rsidRDefault="00000000" w:rsidRPr="00000000" w14:paraId="0000002D">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Sources of Potential Counselor Bias</w:t>
      </w:r>
    </w:p>
    <w:p w:rsidR="00000000" w:rsidDel="00000000" w:rsidP="00000000" w:rsidRDefault="00000000" w:rsidRPr="00000000" w14:paraId="0000002E">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spacing w:line="480" w:lineRule="auto"/>
        <w:ind w:firstLine="72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 document "Avoiding Bias in the Search for Implicit Bias" in Psychological Inquiry describes biases and their impact on decision-making processes and social interactions (Cyrus-Lai et al., 2022).</w:t>
      </w:r>
    </w:p>
    <w:p w:rsidR="00000000" w:rsidDel="00000000" w:rsidP="00000000" w:rsidRDefault="00000000" w:rsidRPr="00000000" w14:paraId="00000030">
      <w:pPr>
        <w:spacing w:line="480" w:lineRule="auto"/>
        <w:ind w:firstLine="72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"Clinicians’ Cognitive and Affective Biases and the Practice of Psychotherapy," in the American Journal of Psychotherapy explores the interplay between clinicians' cognitive and affective biases and the psychotherapeutic process (Yager et al., 2021).</w:t>
      </w:r>
    </w:p>
    <w:p w:rsidR="00000000" w:rsidDel="00000000" w:rsidP="00000000" w:rsidRDefault="00000000" w:rsidRPr="00000000" w14:paraId="00000031">
      <w:pPr>
        <w:spacing w:line="480" w:lineRule="auto"/>
        <w:ind w:left="0" w:firstLine="0"/>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Multicultural Competence</w:t>
      </w:r>
    </w:p>
    <w:p w:rsidR="00000000" w:rsidDel="00000000" w:rsidP="00000000" w:rsidRDefault="00000000" w:rsidRPr="00000000" w14:paraId="00000032">
      <w:pPr>
        <w:spacing w:line="480" w:lineRule="auto"/>
        <w:ind w:left="0" w:firstLine="72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Cultural diversity training deepened my awareness of my own biases and privileges. I have gained an understanding of the complexity of cultural experiences, heightening my empathy and sensitivity. Expanding my knowledge has broadened my understanding of various backgrounds, traditions, and worldviews, including specific cultural values, communication styles, and help-seeking behaviors. This empowers me to offer culturally informed services.</w:t>
      </w:r>
    </w:p>
    <w:p w:rsidR="00000000" w:rsidDel="00000000" w:rsidP="00000000" w:rsidRDefault="00000000" w:rsidRPr="00000000" w14:paraId="00000033">
      <w:pPr>
        <w:spacing w:line="480" w:lineRule="auto"/>
        <w:ind w:left="0" w:firstLine="72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Moreover, I have learned skills necessary for engaging with diverse clients, including  active listening and employing culturally sensitive and responsive intervention. To further develop my multicultural competence, I will pursue ongoing education opportunities focused on multicultural counseling and diversity. By staying abreast of current research, theories, and best practices, I can enhance my knowledge and skills. Engaging in regular self-reflection that examines my cultural biases and reactions will be integral to my growth. Supervision provides a supportive environment to process my experiences, receive constructive feedback, and learn ways to navigate cultural dynamics. Embracing cultural humility by approaching each client with openness, curiosity, and humility will help me learn from clients’ diverse cultural experiences.</w:t>
      </w:r>
    </w:p>
    <w:p w:rsidR="00000000" w:rsidDel="00000000" w:rsidP="00000000" w:rsidRDefault="00000000" w:rsidRPr="00000000" w14:paraId="00000034">
      <w:pPr>
        <w:spacing w:line="480" w:lineRule="auto"/>
        <w:ind w:left="0" w:firstLine="720"/>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35">
      <w:pPr>
        <w:spacing w:line="480" w:lineRule="auto"/>
        <w:ind w:left="0" w:firstLine="720"/>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36">
      <w:pPr>
        <w:spacing w:line="480" w:lineRule="auto"/>
        <w:ind w:left="0" w:firstLine="720"/>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37">
      <w:pPr>
        <w:spacing w:line="480" w:lineRule="auto"/>
        <w:ind w:left="0" w:firstLine="720"/>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38">
      <w:pPr>
        <w:spacing w:line="480" w:lineRule="auto"/>
        <w:ind w:left="0" w:firstLine="720"/>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39">
      <w:pPr>
        <w:spacing w:line="480" w:lineRule="auto"/>
        <w:ind w:left="0" w:firstLine="720"/>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3A">
      <w:pPr>
        <w:spacing w:line="480" w:lineRule="auto"/>
        <w:ind w:left="0" w:firstLine="720"/>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3B">
      <w:pPr>
        <w:spacing w:line="480" w:lineRule="auto"/>
        <w:ind w:left="0" w:firstLine="720"/>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3C">
      <w:pPr>
        <w:spacing w:line="480" w:lineRule="auto"/>
        <w:ind w:left="0" w:firstLine="720"/>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3D">
      <w:pPr>
        <w:spacing w:line="480" w:lineRule="auto"/>
        <w:ind w:left="0" w:firstLine="0"/>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b w:val="1"/>
          <w:color w:val="0d0d0d"/>
          <w:rtl w:val="0"/>
        </w:rPr>
        <w:t xml:space="preserve">References:</w:t>
      </w:r>
      <w:r w:rsidDel="00000000" w:rsidR="00000000" w:rsidRPr="00000000">
        <w:rPr>
          <w:rtl w:val="0"/>
        </w:rPr>
      </w:r>
    </w:p>
    <w:p w:rsidR="00000000" w:rsidDel="00000000" w:rsidP="00000000" w:rsidRDefault="00000000" w:rsidRPr="00000000" w14:paraId="0000003E">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Adakai, M., Sandoval-Rosario, M., Xu, F., Aseret-Manygoats, T., Allison, M., Greenlund, K. J., &amp; Barbour, K. E. (2018). Health Disparities Among American Indians/Alaska Natives — Arizona, 2017. </w:t>
      </w:r>
      <w:r w:rsidDel="00000000" w:rsidR="00000000" w:rsidRPr="00000000">
        <w:rPr>
          <w:rFonts w:ascii="Times New Roman" w:cs="Times New Roman" w:eastAsia="Times New Roman" w:hAnsi="Times New Roman"/>
          <w:i w:val="1"/>
          <w:rtl w:val="0"/>
        </w:rPr>
        <w:t xml:space="preserve">MMWR. Morbidity and Mortality Weekly Report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67</w:t>
      </w:r>
      <w:r w:rsidDel="00000000" w:rsidR="00000000" w:rsidRPr="00000000">
        <w:rPr>
          <w:rFonts w:ascii="Times New Roman" w:cs="Times New Roman" w:eastAsia="Times New Roman" w:hAnsi="Times New Roman"/>
          <w:rtl w:val="0"/>
        </w:rPr>
        <w:t xml:space="preserve">(47), 1314–1318. </w:t>
      </w:r>
      <w:hyperlink r:id="rId12">
        <w:r w:rsidDel="00000000" w:rsidR="00000000" w:rsidRPr="00000000">
          <w:rPr>
            <w:rFonts w:ascii="Times New Roman" w:cs="Times New Roman" w:eastAsia="Times New Roman" w:hAnsi="Times New Roman"/>
            <w:color w:val="1155cc"/>
            <w:u w:val="single"/>
            <w:rtl w:val="0"/>
          </w:rPr>
          <w:t xml:space="preserve">https://doi.org/10.15585/mmwr.mm6747a4</w:t>
        </w:r>
      </w:hyperlink>
      <w:r w:rsidDel="00000000" w:rsidR="00000000" w:rsidRPr="00000000">
        <w:rPr>
          <w:rtl w:val="0"/>
        </w:rPr>
      </w:r>
    </w:p>
    <w:p w:rsidR="00000000" w:rsidDel="00000000" w:rsidP="00000000" w:rsidRDefault="00000000" w:rsidRPr="00000000" w14:paraId="0000003F">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Counseling Association. (2014). </w:t>
      </w:r>
      <w:r w:rsidDel="00000000" w:rsidR="00000000" w:rsidRPr="00000000">
        <w:rPr>
          <w:rFonts w:ascii="Times New Roman" w:cs="Times New Roman" w:eastAsia="Times New Roman" w:hAnsi="Times New Roman"/>
          <w:i w:val="1"/>
          <w:rtl w:val="0"/>
        </w:rPr>
        <w:t xml:space="preserve">ACA code of ethics</w:t>
      </w:r>
      <w:r w:rsidDel="00000000" w:rsidR="00000000" w:rsidRPr="00000000">
        <w:rPr>
          <w:rFonts w:ascii="Times New Roman" w:cs="Times New Roman" w:eastAsia="Times New Roman" w:hAnsi="Times New Roman"/>
          <w:rtl w:val="0"/>
        </w:rPr>
        <w:t xml:space="preserve">. </w:t>
      </w:r>
      <w:hyperlink r:id="rId13">
        <w:r w:rsidDel="00000000" w:rsidR="00000000" w:rsidRPr="00000000">
          <w:rPr>
            <w:rFonts w:ascii="Times New Roman" w:cs="Times New Roman" w:eastAsia="Times New Roman" w:hAnsi="Times New Roman"/>
            <w:color w:val="1155cc"/>
            <w:u w:val="single"/>
            <w:rtl w:val="0"/>
          </w:rPr>
          <w:t xml:space="preserve">https://www.counseling.org/resources/aca-code-of-ethics.pdf</w:t>
        </w:r>
      </w:hyperlink>
      <w:r w:rsidDel="00000000" w:rsidR="00000000" w:rsidRPr="00000000">
        <w:rPr>
          <w:rtl w:val="0"/>
        </w:rPr>
      </w:r>
    </w:p>
    <w:p w:rsidR="00000000" w:rsidDel="00000000" w:rsidP="00000000" w:rsidRDefault="00000000" w:rsidRPr="00000000" w14:paraId="00000040">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Chetty, R., Hendren, N., Jones, M. R., &amp; Porter, S. R. (2019). Race and Economic Opportunity in the United states: an Intergenerational Perspective. </w:t>
      </w:r>
      <w:r w:rsidDel="00000000" w:rsidR="00000000" w:rsidRPr="00000000">
        <w:rPr>
          <w:rFonts w:ascii="Times New Roman" w:cs="Times New Roman" w:eastAsia="Times New Roman" w:hAnsi="Times New Roman"/>
          <w:i w:val="1"/>
          <w:rtl w:val="0"/>
        </w:rPr>
        <w:t xml:space="preserve">The Quarterly Journal of Economics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135</w:t>
      </w:r>
      <w:r w:rsidDel="00000000" w:rsidR="00000000" w:rsidRPr="00000000">
        <w:rPr>
          <w:rFonts w:ascii="Times New Roman" w:cs="Times New Roman" w:eastAsia="Times New Roman" w:hAnsi="Times New Roman"/>
          <w:rtl w:val="0"/>
        </w:rPr>
        <w:t xml:space="preserve">(2). </w:t>
      </w:r>
      <w:hyperlink r:id="rId14">
        <w:r w:rsidDel="00000000" w:rsidR="00000000" w:rsidRPr="00000000">
          <w:rPr>
            <w:rFonts w:ascii="Times New Roman" w:cs="Times New Roman" w:eastAsia="Times New Roman" w:hAnsi="Times New Roman"/>
            <w:color w:val="1155cc"/>
            <w:u w:val="single"/>
            <w:rtl w:val="0"/>
          </w:rPr>
          <w:t xml:space="preserve">https://doi.org/10.1093/qje/qjz042</w:t>
        </w:r>
      </w:hyperlink>
      <w:r w:rsidDel="00000000" w:rsidR="00000000" w:rsidRPr="00000000">
        <w:rPr>
          <w:rtl w:val="0"/>
        </w:rPr>
      </w:r>
    </w:p>
    <w:p w:rsidR="00000000" w:rsidDel="00000000" w:rsidP="00000000" w:rsidRDefault="00000000" w:rsidRPr="00000000" w14:paraId="00000041">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Cyrus-Lai, W., Tierney, W., du Plessis, C., Nguyen, M., Schaerer, M., Giulia Clemente, E., &amp; Uhlmann, E. L. (2022). Avoiding Bias in the Search for Implicit Bias. </w:t>
      </w:r>
      <w:r w:rsidDel="00000000" w:rsidR="00000000" w:rsidRPr="00000000">
        <w:rPr>
          <w:rFonts w:ascii="Times New Roman" w:cs="Times New Roman" w:eastAsia="Times New Roman" w:hAnsi="Times New Roman"/>
          <w:i w:val="1"/>
          <w:rtl w:val="0"/>
        </w:rPr>
        <w:t xml:space="preserve">Psychological Inquiry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33</w:t>
      </w:r>
      <w:r w:rsidDel="00000000" w:rsidR="00000000" w:rsidRPr="00000000">
        <w:rPr>
          <w:rFonts w:ascii="Times New Roman" w:cs="Times New Roman" w:eastAsia="Times New Roman" w:hAnsi="Times New Roman"/>
          <w:rtl w:val="0"/>
        </w:rPr>
        <w:t xml:space="preserve">(3), 203–212. </w:t>
      </w:r>
      <w:hyperlink r:id="rId15">
        <w:r w:rsidDel="00000000" w:rsidR="00000000" w:rsidRPr="00000000">
          <w:rPr>
            <w:rFonts w:ascii="Times New Roman" w:cs="Times New Roman" w:eastAsia="Times New Roman" w:hAnsi="Times New Roman"/>
            <w:color w:val="1155cc"/>
            <w:u w:val="single"/>
            <w:rtl w:val="0"/>
          </w:rPr>
          <w:t xml:space="preserve">https://doi.org/10.1080/1047840x.2022.2106762</w:t>
        </w:r>
      </w:hyperlink>
      <w:r w:rsidDel="00000000" w:rsidR="00000000" w:rsidRPr="00000000">
        <w:rPr>
          <w:rtl w:val="0"/>
        </w:rPr>
      </w:r>
    </w:p>
    <w:p w:rsidR="00000000" w:rsidDel="00000000" w:rsidP="00000000" w:rsidRDefault="00000000" w:rsidRPr="00000000" w14:paraId="00000042">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Derald Wing Sue, Sue, D., Neville, H. A., Smith, L., &amp; Wiley, J. (2022). </w:t>
      </w:r>
      <w:r w:rsidDel="00000000" w:rsidR="00000000" w:rsidRPr="00000000">
        <w:rPr>
          <w:rFonts w:ascii="Times New Roman" w:cs="Times New Roman" w:eastAsia="Times New Roman" w:hAnsi="Times New Roman"/>
          <w:i w:val="1"/>
          <w:rtl w:val="0"/>
        </w:rPr>
        <w:t xml:space="preserve">Counseling the Culturally Diverse: Theory and Practice</w:t>
      </w:r>
      <w:r w:rsidDel="00000000" w:rsidR="00000000" w:rsidRPr="00000000">
        <w:rPr>
          <w:rFonts w:ascii="Times New Roman" w:cs="Times New Roman" w:eastAsia="Times New Roman" w:hAnsi="Times New Roman"/>
          <w:rtl w:val="0"/>
        </w:rPr>
        <w:t xml:space="preserve"> (9th ed.). Wiley.</w:t>
      </w:r>
      <w:r w:rsidDel="00000000" w:rsidR="00000000" w:rsidRPr="00000000">
        <w:rPr>
          <w:rtl w:val="0"/>
        </w:rPr>
      </w:r>
    </w:p>
    <w:p w:rsidR="00000000" w:rsidDel="00000000" w:rsidP="00000000" w:rsidRDefault="00000000" w:rsidRPr="00000000" w14:paraId="00000043">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Farahani, H., Arghavan Nepton, &amp; Williams, M. T. (2023). Racial Microaggressions. </w:t>
      </w:r>
      <w:r w:rsidDel="00000000" w:rsidR="00000000" w:rsidRPr="00000000">
        <w:rPr>
          <w:rFonts w:ascii="Times New Roman" w:cs="Times New Roman" w:eastAsia="Times New Roman" w:hAnsi="Times New Roman"/>
          <w:i w:val="1"/>
          <w:rtl w:val="0"/>
        </w:rPr>
        <w:t xml:space="preserve">Springer EBooks</w:t>
      </w:r>
      <w:r w:rsidDel="00000000" w:rsidR="00000000" w:rsidRPr="00000000">
        <w:rPr>
          <w:rFonts w:ascii="Times New Roman" w:cs="Times New Roman" w:eastAsia="Times New Roman" w:hAnsi="Times New Roman"/>
          <w:rtl w:val="0"/>
        </w:rPr>
        <w:t xml:space="preserve">, 245–270. </w:t>
      </w:r>
      <w:hyperlink r:id="rId16">
        <w:r w:rsidDel="00000000" w:rsidR="00000000" w:rsidRPr="00000000">
          <w:rPr>
            <w:rFonts w:ascii="Times New Roman" w:cs="Times New Roman" w:eastAsia="Times New Roman" w:hAnsi="Times New Roman"/>
            <w:color w:val="1155cc"/>
            <w:u w:val="single"/>
            <w:rtl w:val="0"/>
          </w:rPr>
          <w:t xml:space="preserve">https://doi.org/10.1007/978-3-031-31547-3_10</w:t>
        </w:r>
      </w:hyperlink>
      <w:r w:rsidDel="00000000" w:rsidR="00000000" w:rsidRPr="00000000">
        <w:rPr>
          <w:rtl w:val="0"/>
        </w:rPr>
      </w:r>
    </w:p>
    <w:p w:rsidR="00000000" w:rsidDel="00000000" w:rsidP="00000000" w:rsidRDefault="00000000" w:rsidRPr="00000000" w14:paraId="00000044">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Greenwald, A. G., Dasgupta, N., Dovidio, J. F., Kang, J., Moss-Racusin, C. A., &amp; Teachman, B. A. (2022). Implicit-Bias Remedies: Treating Discriminatory Bias as a Public-Health Problem. </w:t>
      </w:r>
      <w:r w:rsidDel="00000000" w:rsidR="00000000" w:rsidRPr="00000000">
        <w:rPr>
          <w:rFonts w:ascii="Times New Roman" w:cs="Times New Roman" w:eastAsia="Times New Roman" w:hAnsi="Times New Roman"/>
          <w:i w:val="1"/>
          <w:rtl w:val="0"/>
        </w:rPr>
        <w:t xml:space="preserve">Psychological Science in the Public Interest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23</w:t>
      </w:r>
      <w:r w:rsidDel="00000000" w:rsidR="00000000" w:rsidRPr="00000000">
        <w:rPr>
          <w:rFonts w:ascii="Times New Roman" w:cs="Times New Roman" w:eastAsia="Times New Roman" w:hAnsi="Times New Roman"/>
          <w:rtl w:val="0"/>
        </w:rPr>
        <w:t xml:space="preserve">(1), 7–40. </w:t>
      </w:r>
      <w:hyperlink r:id="rId17">
        <w:r w:rsidDel="00000000" w:rsidR="00000000" w:rsidRPr="00000000">
          <w:rPr>
            <w:rFonts w:ascii="Times New Roman" w:cs="Times New Roman" w:eastAsia="Times New Roman" w:hAnsi="Times New Roman"/>
            <w:color w:val="1155cc"/>
            <w:u w:val="single"/>
            <w:rtl w:val="0"/>
          </w:rPr>
          <w:t xml:space="preserve">https://doi.org/10.1177/15291006211070781</w:t>
        </w:r>
      </w:hyperlink>
      <w:r w:rsidDel="00000000" w:rsidR="00000000" w:rsidRPr="00000000">
        <w:rPr>
          <w:rtl w:val="0"/>
        </w:rPr>
      </w:r>
    </w:p>
    <w:p w:rsidR="00000000" w:rsidDel="00000000" w:rsidP="00000000" w:rsidRDefault="00000000" w:rsidRPr="00000000" w14:paraId="00000045">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Gibbon, S., Khalifa, N. R., Cheung, N. H-Y., Völlm, B. A., &amp; McCarthy, L. (2020). Psychological interventions for antisocial personality disorder. </w:t>
      </w:r>
      <w:r w:rsidDel="00000000" w:rsidR="00000000" w:rsidRPr="00000000">
        <w:rPr>
          <w:rFonts w:ascii="Times New Roman" w:cs="Times New Roman" w:eastAsia="Times New Roman" w:hAnsi="Times New Roman"/>
          <w:i w:val="1"/>
          <w:rtl w:val="0"/>
        </w:rPr>
        <w:t xml:space="preserve">Cochrane Database of Systematic Reviews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9</w:t>
      </w:r>
      <w:r w:rsidDel="00000000" w:rsidR="00000000" w:rsidRPr="00000000">
        <w:rPr>
          <w:rFonts w:ascii="Times New Roman" w:cs="Times New Roman" w:eastAsia="Times New Roman" w:hAnsi="Times New Roman"/>
          <w:rtl w:val="0"/>
        </w:rPr>
        <w:t xml:space="preserve">(9). </w:t>
      </w:r>
      <w:hyperlink r:id="rId18">
        <w:r w:rsidDel="00000000" w:rsidR="00000000" w:rsidRPr="00000000">
          <w:rPr>
            <w:rFonts w:ascii="Times New Roman" w:cs="Times New Roman" w:eastAsia="Times New Roman" w:hAnsi="Times New Roman"/>
            <w:color w:val="1155cc"/>
            <w:u w:val="single"/>
            <w:rtl w:val="0"/>
          </w:rPr>
          <w:t xml:space="preserve">https://doi.org/10.1002/14651858.cd007668.pub3</w:t>
        </w:r>
      </w:hyperlink>
      <w:r w:rsidDel="00000000" w:rsidR="00000000" w:rsidRPr="00000000">
        <w:rPr>
          <w:rtl w:val="0"/>
        </w:rPr>
      </w:r>
    </w:p>
    <w:p w:rsidR="00000000" w:rsidDel="00000000" w:rsidP="00000000" w:rsidRDefault="00000000" w:rsidRPr="00000000" w14:paraId="00000046">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Lekas, H.-M., Pahl, K., &amp; Fuller Lewis, C. (2020). Rethinking Cultural Competence: Shifting to Cultural Humility. </w:t>
      </w:r>
      <w:r w:rsidDel="00000000" w:rsidR="00000000" w:rsidRPr="00000000">
        <w:rPr>
          <w:rFonts w:ascii="Times New Roman" w:cs="Times New Roman" w:eastAsia="Times New Roman" w:hAnsi="Times New Roman"/>
          <w:i w:val="1"/>
          <w:rtl w:val="0"/>
        </w:rPr>
        <w:t xml:space="preserve">Health Services Insights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13</w:t>
      </w:r>
      <w:r w:rsidDel="00000000" w:rsidR="00000000" w:rsidRPr="00000000">
        <w:rPr>
          <w:rFonts w:ascii="Times New Roman" w:cs="Times New Roman" w:eastAsia="Times New Roman" w:hAnsi="Times New Roman"/>
          <w:rtl w:val="0"/>
        </w:rPr>
        <w:t xml:space="preserve">(1-4), 117863292097058. </w:t>
      </w:r>
      <w:hyperlink r:id="rId19">
        <w:r w:rsidDel="00000000" w:rsidR="00000000" w:rsidRPr="00000000">
          <w:rPr>
            <w:rFonts w:ascii="Times New Roman" w:cs="Times New Roman" w:eastAsia="Times New Roman" w:hAnsi="Times New Roman"/>
            <w:color w:val="1155cc"/>
            <w:u w:val="single"/>
            <w:rtl w:val="0"/>
          </w:rPr>
          <w:t xml:space="preserve">https://doi.org/10.1177/1178632920970580</w:t>
        </w:r>
      </w:hyperlink>
      <w:r w:rsidDel="00000000" w:rsidR="00000000" w:rsidRPr="00000000">
        <w:rPr>
          <w:rtl w:val="0"/>
        </w:rPr>
      </w:r>
    </w:p>
    <w:p w:rsidR="00000000" w:rsidDel="00000000" w:rsidP="00000000" w:rsidRDefault="00000000" w:rsidRPr="00000000" w14:paraId="00000047">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Minnican, C., &amp; O’Toole, G. (2020). Exploring the incidence of culturally responsive communication in Australian healthcare: the first rapid review on this concept. </w:t>
      </w:r>
      <w:r w:rsidDel="00000000" w:rsidR="00000000" w:rsidRPr="00000000">
        <w:rPr>
          <w:rFonts w:ascii="Times New Roman" w:cs="Times New Roman" w:eastAsia="Times New Roman" w:hAnsi="Times New Roman"/>
          <w:i w:val="1"/>
          <w:rtl w:val="0"/>
        </w:rPr>
        <w:t xml:space="preserve">BMC Health Services Research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20</w:t>
      </w:r>
      <w:r w:rsidDel="00000000" w:rsidR="00000000" w:rsidRPr="00000000">
        <w:rPr>
          <w:rFonts w:ascii="Times New Roman" w:cs="Times New Roman" w:eastAsia="Times New Roman" w:hAnsi="Times New Roman"/>
          <w:rtl w:val="0"/>
        </w:rPr>
        <w:t xml:space="preserve">(1). </w:t>
      </w:r>
      <w:hyperlink r:id="rId20">
        <w:r w:rsidDel="00000000" w:rsidR="00000000" w:rsidRPr="00000000">
          <w:rPr>
            <w:rFonts w:ascii="Times New Roman" w:cs="Times New Roman" w:eastAsia="Times New Roman" w:hAnsi="Times New Roman"/>
            <w:color w:val="1155cc"/>
            <w:u w:val="single"/>
            <w:rtl w:val="0"/>
          </w:rPr>
          <w:t xml:space="preserve">https://doi.org/10.1186/s12913-019-4859-6</w:t>
        </w:r>
      </w:hyperlink>
      <w:r w:rsidDel="00000000" w:rsidR="00000000" w:rsidRPr="00000000">
        <w:rPr>
          <w:rtl w:val="0"/>
        </w:rPr>
      </w:r>
    </w:p>
    <w:p w:rsidR="00000000" w:rsidDel="00000000" w:rsidP="00000000" w:rsidRDefault="00000000" w:rsidRPr="00000000" w14:paraId="00000048">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Sharif, M. Z., Truong, M., Alam, O., Dunn, K., Nelson, J., Kavanagh, A., Paradies, Y., &amp; Priest, N. (2021). The association between experiences of religious discrimination, social-emotional and sleep outcomes among youth in Australia. </w:t>
      </w:r>
      <w:r w:rsidDel="00000000" w:rsidR="00000000" w:rsidRPr="00000000">
        <w:rPr>
          <w:rFonts w:ascii="Times New Roman" w:cs="Times New Roman" w:eastAsia="Times New Roman" w:hAnsi="Times New Roman"/>
          <w:i w:val="1"/>
          <w:rtl w:val="0"/>
        </w:rPr>
        <w:t xml:space="preserve">SSM - Population Health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15</w:t>
      </w:r>
      <w:r w:rsidDel="00000000" w:rsidR="00000000" w:rsidRPr="00000000">
        <w:rPr>
          <w:rFonts w:ascii="Times New Roman" w:cs="Times New Roman" w:eastAsia="Times New Roman" w:hAnsi="Times New Roman"/>
          <w:rtl w:val="0"/>
        </w:rPr>
        <w:t xml:space="preserve">, 100883. </w:t>
      </w:r>
      <w:hyperlink r:id="rId21">
        <w:r w:rsidDel="00000000" w:rsidR="00000000" w:rsidRPr="00000000">
          <w:rPr>
            <w:rFonts w:ascii="Times New Roman" w:cs="Times New Roman" w:eastAsia="Times New Roman" w:hAnsi="Times New Roman"/>
            <w:color w:val="1155cc"/>
            <w:u w:val="single"/>
            <w:rtl w:val="0"/>
          </w:rPr>
          <w:t xml:space="preserve">https://doi.org/10.1016/j.ssmph.2021.100883</w:t>
        </w:r>
      </w:hyperlink>
      <w:r w:rsidDel="00000000" w:rsidR="00000000" w:rsidRPr="00000000">
        <w:rPr>
          <w:rtl w:val="0"/>
        </w:rPr>
      </w:r>
    </w:p>
    <w:p w:rsidR="00000000" w:rsidDel="00000000" w:rsidP="00000000" w:rsidRDefault="00000000" w:rsidRPr="00000000" w14:paraId="00000049">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Yager, J., Kay, J., &amp; Kelsay, K. (2021). Clinicians’ cognitive and affective biases and the practice of psychotherapy. </w:t>
      </w:r>
      <w:r w:rsidDel="00000000" w:rsidR="00000000" w:rsidRPr="00000000">
        <w:rPr>
          <w:rFonts w:ascii="Times New Roman" w:cs="Times New Roman" w:eastAsia="Times New Roman" w:hAnsi="Times New Roman"/>
          <w:i w:val="1"/>
          <w:rtl w:val="0"/>
        </w:rPr>
        <w:t xml:space="preserve">American Journal of Psychotherapy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74</w:t>
      </w:r>
      <w:r w:rsidDel="00000000" w:rsidR="00000000" w:rsidRPr="00000000">
        <w:rPr>
          <w:rFonts w:ascii="Times New Roman" w:cs="Times New Roman" w:eastAsia="Times New Roman" w:hAnsi="Times New Roman"/>
          <w:rtl w:val="0"/>
        </w:rPr>
        <w:t xml:space="preserve">(3). </w:t>
      </w:r>
      <w:hyperlink r:id="rId22">
        <w:r w:rsidDel="00000000" w:rsidR="00000000" w:rsidRPr="00000000">
          <w:rPr>
            <w:rFonts w:ascii="Times New Roman" w:cs="Times New Roman" w:eastAsia="Times New Roman" w:hAnsi="Times New Roman"/>
            <w:color w:val="1155cc"/>
            <w:u w:val="single"/>
            <w:rtl w:val="0"/>
          </w:rPr>
          <w:t xml:space="preserve">https://doi.org/10.1176/appi.psychotherapy.20200025</w:t>
        </w:r>
      </w:hyperlink>
      <w:r w:rsidDel="00000000" w:rsidR="00000000" w:rsidRPr="00000000">
        <w:rPr>
          <w:rtl w:val="0"/>
        </w:rPr>
      </w:r>
    </w:p>
    <w:p w:rsidR="00000000" w:rsidDel="00000000" w:rsidP="00000000" w:rsidRDefault="00000000" w:rsidRPr="00000000" w14:paraId="0000004A">
      <w:pPr>
        <w:spacing w:line="48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48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48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480" w:lineRule="auto"/>
        <w:ind w:left="0" w:firstLine="0"/>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4E">
      <w:pPr>
        <w:spacing w:line="480" w:lineRule="auto"/>
        <w:ind w:left="0" w:firstLine="0"/>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4F">
      <w:pPr>
        <w:spacing w:line="480" w:lineRule="auto"/>
        <w:ind w:firstLine="720"/>
        <w:rPr>
          <w:rFonts w:ascii="Times New Roman" w:cs="Times New Roman" w:eastAsia="Times New Roman" w:hAnsi="Times New Roman"/>
          <w:color w:val="0d0d0d"/>
        </w:rPr>
      </w:pPr>
      <w:r w:rsidDel="00000000" w:rsidR="00000000" w:rsidRPr="00000000">
        <w:rPr>
          <w:rtl w:val="0"/>
        </w:rPr>
      </w:r>
    </w:p>
    <w:sectPr>
      <w:type w:val="nextPage"/>
      <w:pgSz w:h="15840" w:w="12240" w:orient="portrait"/>
      <w:pgMar w:bottom="1440" w:top="1440" w:left="1440" w:right="1440" w:header="720" w:footer="7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AND CULTURAL DIVERSITY ANALYSIS</w:t>
    </w:r>
    <w:r w:rsidDel="00000000" w:rsidR="00000000" w:rsidRPr="00000000">
      <w:rPr>
        <w:rFonts w:ascii="Times New Roman" w:cs="Times New Roman" w:eastAsia="Times New Roman" w:hAnsi="Times New Roman"/>
        <w:rtl w:val="0"/>
      </w:rPr>
      <w:tab/>
      <w:t xml:space="preserv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9345B"/>
    <w:rPr>
      <w:rFonts w:ascii="Arial" w:hAnsi="Arial"/>
      <w:sz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styleId="GrandCanyonReference" w:customStyle="1">
    <w:name w:val="Grand Canyon Reference"/>
    <w:basedOn w:val="Normal"/>
    <w:autoRedefine w:val="1"/>
    <w:rsid w:val="00162E95"/>
    <w:pPr>
      <w:widowControl w:val="0"/>
      <w:spacing w:line="480" w:lineRule="auto"/>
      <w:ind w:left="720" w:hanging="720"/>
    </w:pPr>
    <w:rPr>
      <w:rFonts w:ascii="Times New Roman" w:cs="Lucida Sans Unicode" w:hAnsi="Times New Roman"/>
      <w:bCs w:val="1"/>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cs="Segoe UI" w:hAnsi="Segoe UI"/>
      <w:sz w:val="18"/>
      <w:szCs w:val="18"/>
    </w:rPr>
  </w:style>
  <w:style w:type="character" w:styleId="BalloonTextChar" w:customStyle="1">
    <w:name w:val="Balloon Text Char"/>
    <w:basedOn w:val="DefaultParagraphFont"/>
    <w:link w:val="BalloonText"/>
    <w:rsid w:val="0035053D"/>
    <w:rPr>
      <w:rFonts w:ascii="Segoe UI" w:cs="Segoe UI" w:hAnsi="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styleId="CommentTextChar" w:customStyle="1">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val="1"/>
      <w:bCs w:val="1"/>
    </w:rPr>
  </w:style>
  <w:style w:type="character" w:styleId="CommentSubjectChar" w:customStyle="1">
    <w:name w:val="Comment Subject Char"/>
    <w:basedOn w:val="CommentTextChar"/>
    <w:link w:val="CommentSubject"/>
    <w:rsid w:val="00311BDA"/>
    <w:rPr>
      <w:rFonts w:ascii="Arial" w:hAnsi="Arial"/>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86/s12913-019-4859-6" TargetMode="External"/><Relationship Id="rId11" Type="http://schemas.openxmlformats.org/officeDocument/2006/relationships/footer" Target="footer2.xml"/><Relationship Id="rId22" Type="http://schemas.openxmlformats.org/officeDocument/2006/relationships/hyperlink" Target="https://doi.org/10.1176/appi.psychotherapy.20200025" TargetMode="External"/><Relationship Id="rId10" Type="http://schemas.openxmlformats.org/officeDocument/2006/relationships/footer" Target="footer1.xml"/><Relationship Id="rId21" Type="http://schemas.openxmlformats.org/officeDocument/2006/relationships/hyperlink" Target="https://doi.org/10.1016/j.ssmph.2021.100883" TargetMode="External"/><Relationship Id="rId13" Type="http://schemas.openxmlformats.org/officeDocument/2006/relationships/hyperlink" Target="https://www.counseling.org/resources/aca-code-of-ethics.pdf" TargetMode="External"/><Relationship Id="rId12" Type="http://schemas.openxmlformats.org/officeDocument/2006/relationships/hyperlink" Target="https://doi.org/10.15585/mmwr.mm6747a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https://doi.org/10.1080/1047840x.2022.2106762" TargetMode="External"/><Relationship Id="rId14" Type="http://schemas.openxmlformats.org/officeDocument/2006/relationships/hyperlink" Target="https://doi.org/10.1093/qje/qjz042" TargetMode="External"/><Relationship Id="rId17" Type="http://schemas.openxmlformats.org/officeDocument/2006/relationships/hyperlink" Target="https://doi.org/10.1177/15291006211070781" TargetMode="External"/><Relationship Id="rId16" Type="http://schemas.openxmlformats.org/officeDocument/2006/relationships/hyperlink" Target="https://doi.org/10.1007/978-3-031-31547-3_10" TargetMode="External"/><Relationship Id="rId5" Type="http://schemas.openxmlformats.org/officeDocument/2006/relationships/styles" Target="styles.xml"/><Relationship Id="rId19" Type="http://schemas.openxmlformats.org/officeDocument/2006/relationships/hyperlink" Target="https://doi.org/10.1177/1178632920970580" TargetMode="External"/><Relationship Id="rId6" Type="http://schemas.openxmlformats.org/officeDocument/2006/relationships/customXml" Target="../customXML/item1.xml"/><Relationship Id="rId18" Type="http://schemas.openxmlformats.org/officeDocument/2006/relationships/hyperlink" Target="https://doi.org/10.1002/14651858.cd007668.pub3"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S6BZAmdLG2t4Cjfj7oGO9UzfyA==">CgMxLjAyDmguZGxpNnFkMW5vZG55OAByITFybEI2WTJNdHZRWXRxc1o0Yl9RUm13TXZEd2EtRHBOdQ==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2020-08-06T15:22:00Z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y fmtid="{D5CDD505-2E9C-101B-9397-08002B2CF9AE}" pid="11" name="DocumentStatus">
    <vt:lpwstr>DocumentStatus</vt:lpwstr>
  </property>
  <property fmtid="{D5CDD505-2E9C-101B-9397-08002B2CF9AE}" pid="12" name="DocumentDepartment">
    <vt:lpwstr>42;#Academic Program and Course Development|59abafec-cbf5-4238-a796-a3b74278f4db</vt:lpwstr>
  </property>
  <property fmtid="{D5CDD505-2E9C-101B-9397-08002B2CF9AE}" pid="13" name="ContentTypeId">
    <vt:lpwstr>0x010100A30BC5E90BED914E81F4B67CDEADBEEF007596C085266C08468B7E3724CEC138A3</vt:lpwstr>
  </property>
  <property fmtid="{D5CDD505-2E9C-101B-9397-08002B2CF9AE}" pid="14" name="DocumentType">
    <vt:lpwstr>DocumentType</vt:lpwstr>
  </property>
  <property fmtid="{D5CDD505-2E9C-101B-9397-08002B2CF9AE}" pid="15" name="DocumentSubject">
    <vt:lpwstr>DocumentSubject</vt:lpwstr>
  </property>
  <property fmtid="{D5CDD505-2E9C-101B-9397-08002B2CF9AE}" pid="16" name="SecurityClassification">
    <vt:lpwstr>2;#Internal|98311b30-b9e9-4d4f-9f64-0688c0d4a234</vt:lpwstr>
  </property>
  <property fmtid="{D5CDD505-2E9C-101B-9397-08002B2CF9AE}" pid="17" name="DocumentBusinessValue">
    <vt:lpwstr>3;#Normal|581d4866-74cc-43f1-bef1-bb304cbfeaa5</vt:lpwstr>
  </property>
  <property fmtid="{D5CDD505-2E9C-101B-9397-08002B2CF9AE}" pid="18" name="DocumentCategory">
    <vt:lpwstr>DocumentCategory</vt:lpwstr>
  </property>
  <property fmtid="{D5CDD505-2E9C-101B-9397-08002B2CF9AE}" pid="19" name="TaxKeyword">
    <vt:lpwstr>TaxKeyword</vt:lpwstr>
  </property>
  <property fmtid="{D5CDD505-2E9C-101B-9397-08002B2CF9AE}" pid="20" name="DocumentStatus">
    <vt:lpwstr>DocumentStatus</vt:lpwstr>
  </property>
  <property fmtid="{D5CDD505-2E9C-101B-9397-08002B2CF9AE}" pid="21" name="DocumentDepartment">
    <vt:lpwstr>42;#Academic Program and Course Development|59abafec-cbf5-4238-a796-a3b74278f4db</vt:lpwstr>
  </property>
  <property fmtid="{D5CDD505-2E9C-101B-9397-08002B2CF9AE}" pid="22" name="ContentTypeId">
    <vt:lpwstr>0x010100A30BC5E90BED914E81F4B67CDEADBEEF007596C085266C08468B7E3724CEC138A3</vt:lpwstr>
  </property>
  <property fmtid="{D5CDD505-2E9C-101B-9397-08002B2CF9AE}" pid="23" name="DocumentType">
    <vt:lpwstr>DocumentType</vt:lpwstr>
  </property>
  <property fmtid="{D5CDD505-2E9C-101B-9397-08002B2CF9AE}" pid="24" name="DocumentSubject">
    <vt:lpwstr>DocumentSubject</vt:lpwstr>
  </property>
  <property fmtid="{D5CDD505-2E9C-101B-9397-08002B2CF9AE}" pid="25" name="SecurityClassification">
    <vt:lpwstr>2;#Internal|98311b30-b9e9-4d4f-9f64-0688c0d4a234</vt:lpwstr>
  </property>
  <property fmtid="{D5CDD505-2E9C-101B-9397-08002B2CF9AE}" pid="26" name="DocumentBusinessValue">
    <vt:lpwstr>3;#Normal|581d4866-74cc-43f1-bef1-bb304cbfeaa5</vt:lpwstr>
  </property>
  <property fmtid="{D5CDD505-2E9C-101B-9397-08002B2CF9AE}" pid="27" name="DocumentCategory">
    <vt:lpwstr>DocumentCategory</vt:lpwstr>
  </property>
  <property fmtid="{D5CDD505-2E9C-101B-9397-08002B2CF9AE}" pid="28" name="TaxKeyword">
    <vt:lpwstr>TaxKeyword</vt:lpwstr>
  </property>
</Properties>
</file>