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32"/>
          <w:szCs w:val="32"/>
          <w:rtl w:val="0"/>
        </w:rPr>
        <w:t xml:space="preserve">CNL-664A Topic 2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2"/>
          <w:szCs w:val="32"/>
          <w:rtl w:val="0"/>
        </w:rPr>
        <w:t xml:space="preserve">Choosing a Mentor to Support Your Counseling Practice 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598"/>
        <w:gridCol w:w="5752"/>
        <w:tblGridChange w:id="0">
          <w:tblGrid>
            <w:gridCol w:w="3598"/>
            <w:gridCol w:w="575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2">
            <w:pPr>
              <w:spacing w:after="0" w:before="20" w:line="276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Mentorship Prompts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spacing w:after="0" w:before="20" w:line="276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1a1a1c"/>
                <w:rtl w:val="0"/>
              </w:rPr>
              <w:t xml:space="preserve">Address each of the following prompts in 100-150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spacing w:after="0" w:before="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Mentorship and Supervision: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Compare the similarities and differences between mentorship and supervision.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5">
            <w:pPr>
              <w:spacing w:after="0" w:before="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Mentorship and supervision overlap in that both are relationship-based, growth-oriented processes that use reflection, feedback, and goal-setting to support a Counselor-in-Training’s (CIT’s) development and ethical practice. The key difference is purpose and power: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supervision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is a formal, evaluative role focused on client welfare, risk management, case conceptualization, and ensuring the CIT meets professional and legal/ethical standards—often with documentation and accountability to a program, licensure board, or practice owner. Mentorship, by contrast, is typically non-evaluative and broader in scope, emphasizing professional identity, long-term career development, confidence-building, and guidance navigating the realities of practice; it may still include clinical growth, but it is less about gatekeeping and more about support, perspective, and skill-building over time.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6">
            <w:pPr>
              <w:spacing w:after="0" w:before="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Mentorship Characteristics and Skills: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Discuss the characteristics and skills important for selecting a professional mentor (e.g., experience/professional background, mentorship style, availability).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7">
            <w:pPr>
              <w:spacing w:after="0" w:before="20" w:line="27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When selecting a professional mentor in a private counseling practice setting, the CIT should prioritize fit and expertise in the targeted areas: demonstrated clinical experience and training in trauma work (especially sexual abuse) and competency with complex dissociation/DID (including assessment considerations, stabilization, and phased trauma treatment approaches). Important mentor skills include an attuned mentorship style that balances warmth with direct, behavior-specific feedback; strong ethical boundaries and cultural humility; and the ability to translate advanced concepts into practical decisions about pacing, safety, documentation, and referral/consultation thresholds. Finally, availability matters as much as credentials—the best mentor is consistently reachable for scheduled consult blocks and can offer timely input around high-risk moments (e.g., dissociation, safety planning, memory work, intense transference/countertransference), while also encouraging the CIT’s autonomy rather than creating dependence.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8">
            <w:pPr>
              <w:spacing w:after="0" w:before="20" w:line="276" w:lineRule="auto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Professional Mentor Support Goals: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Describe the goals (SMART) the CIT aims to achieve with professional mentor’s support.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9">
            <w:pPr>
              <w:spacing w:after="0" w:before="20" w:line="276" w:lineRule="auto"/>
              <w:rPr>
                <w:rFonts w:ascii="Times New Roman" w:cs="Times New Roman" w:eastAsia="Times New Roman" w:hAnsi="Times New Roman"/>
              </w:rPr>
            </w:pPr>
            <w:sdt>
              <w:sdtPr>
                <w:id w:val="618863491"/>
                <w:tag w:val="goog_rdk_0"/>
              </w:sdtPr>
              <w:sdtContent>
                <w:r w:rsidDel="00000000" w:rsidR="00000000" w:rsidRPr="00000000">
                  <w:rPr>
                    <w:rFonts w:ascii="Cardo" w:cs="Cardo" w:eastAsia="Cardo" w:hAnsi="Cardo"/>
                    <w:rtl w:val="0"/>
                  </w:rPr>
                  <w:t xml:space="preserve">With the mentor’s support, the CIT will pursue the following SMART goals over the next 12 weeks in the private practice setting: (1) Sexual abuse trauma competence: complete at least 20 hours of targeted continuing education in sexual abuse trauma treatment and implement 8 structured case consultations (weekly/biweekly) where the CIT presents one active case (or simulated case material if caseload is limited) using a phased framework (stabilization → trauma processing readiness → integration/maintenance), with the mentor providing written or checklist-based feedback on conceptualization, pacing, and risk management; success will be demonstrated by a documented treatment plan update for each case and the CIT’s self-rated confidence improving from baseline to a +2 point increase on a 10-point scale by week 12. (2) DID/dissociation skill-building: complete one evidence-informed DID/dissociation training series (minimum 12 hours) and, by week 12, demonstrate competence in three core skills—dissociation screening/monitoring, stabilization and grounding interventions, and session structure for safety—through six mentor-reviewed session plans (or role-plays) and at least two supervisor/mentor-reviewed notes that reflect appropriate documentation, safety planning, and referral/consultation decisions; success will be measured by the mentor rating the CIT as “competent” or higher on an agreed rubric in all three skill areas by the final review.</w:t>
                </w:r>
              </w:sdtContent>
            </w:sdt>
          </w:p>
        </w:tc>
      </w:tr>
    </w:tbl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/>
    </w:pPr>
    <w:r w:rsidDel="00000000" w:rsidR="00000000" w:rsidRPr="00000000">
      <w:rPr>
        <w:rtl w:val="0"/>
      </w:rPr>
      <w:t xml:space="preserve">© 2025. Grand Canyon University. All Rights Reserved.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rPr/>
    </w:pPr>
    <w:r w:rsidDel="00000000" w:rsidR="00000000" w:rsidRPr="00000000">
      <w:rPr/>
      <w:drawing>
        <wp:inline distB="0" distT="0" distL="0" distR="0">
          <wp:extent cx="2314575" cy="552450"/>
          <wp:effectExtent b="0" l="0" r="0" t="0"/>
          <wp:docPr descr="Picture 479897655, Picture" id="660824439" name="image1.png"/>
          <a:graphic>
            <a:graphicData uri="http://schemas.openxmlformats.org/drawingml/2006/picture">
              <pic:pic>
                <pic:nvPicPr>
                  <pic:cNvPr descr="Picture 479897655, Pictur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14575" cy="5524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br w:type="textWrapping"/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D57CD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57CDE"/>
  </w:style>
  <w:style w:type="paragraph" w:styleId="Footer">
    <w:name w:val="footer"/>
    <w:basedOn w:val="Normal"/>
    <w:link w:val="FooterChar"/>
    <w:uiPriority w:val="99"/>
    <w:unhideWhenUsed w:val="1"/>
    <w:rsid w:val="00D57CD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57CD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Pr>
      <w:sz w:val="16"/>
      <w:szCs w:val="16"/>
    </w:rPr>
  </w:style>
  <w:style w:type="paragraph" w:styleId="Revision">
    <w:name w:val="Revision"/>
    <w:hidden w:val="1"/>
    <w:uiPriority w:val="99"/>
    <w:semiHidden w:val="1"/>
    <w:rsid w:val="007A73D3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hQB3XT57k848qqmsykXsV9B+vA==">CgMxLjAaIwoBMBIeChwIB0IYCg9UaW1lcyBOZXcgUm9tYW4SBUNhcmRvOAByITFUdnFHbG5pd29tRWtia2lFUHVKN0M4b29INTZnNnppbA==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2025-05-09T21:23:00Z</dcterms:created>
  <dc:creator>Kimberly Grigg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MediaServiceImageTags">
    <vt:lpwstr/>
  </property>
</Properties>
</file>