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lineRule="auto"/>
        <w:rPr>
          <w:b w:val="1"/>
        </w:rPr>
      </w:pPr>
      <w:r w:rsidDel="00000000" w:rsidR="00000000" w:rsidRPr="00000000">
        <w:rPr>
          <w:b w:val="1"/>
          <w:rtl w:val="0"/>
        </w:rPr>
        <w:t xml:space="preserve">Counselor Ethics and Responsibilities</w:t>
      </w:r>
      <w:r w:rsidDel="00000000" w:rsidR="00000000" w:rsidRPr="00000000">
        <w:rPr>
          <w:rtl w:val="0"/>
        </w:rPr>
      </w:r>
    </w:p>
    <w:p w:rsidR="00000000" w:rsidDel="00000000" w:rsidP="00000000" w:rsidRDefault="00000000" w:rsidRPr="00000000" w14:paraId="00000002">
      <w:pPr>
        <w:spacing w:after="0" w:lineRule="auto"/>
        <w:jc w:val="center"/>
        <w:rPr/>
      </w:pPr>
      <w:r w:rsidDel="00000000" w:rsidR="00000000" w:rsidRPr="00000000">
        <w:rPr>
          <w:rtl w:val="0"/>
        </w:rPr>
      </w:r>
    </w:p>
    <w:p w:rsidR="00000000" w:rsidDel="00000000" w:rsidP="00000000" w:rsidRDefault="00000000" w:rsidRPr="00000000" w14:paraId="00000003">
      <w:pPr>
        <w:spacing w:after="0" w:lineRule="auto"/>
        <w:jc w:val="center"/>
        <w:rPr/>
      </w:pPr>
      <w:r w:rsidDel="00000000" w:rsidR="00000000" w:rsidRPr="00000000">
        <w:rPr>
          <w:rtl w:val="0"/>
        </w:rPr>
        <w:t xml:space="preserve">Terah N. Partridge</w:t>
      </w:r>
    </w:p>
    <w:p w:rsidR="00000000" w:rsidDel="00000000" w:rsidP="00000000" w:rsidRDefault="00000000" w:rsidRPr="00000000" w14:paraId="00000004">
      <w:pPr>
        <w:spacing w:after="0" w:lineRule="auto"/>
        <w:jc w:val="center"/>
        <w:rPr/>
      </w:pPr>
      <w:r w:rsidDel="00000000" w:rsidR="00000000" w:rsidRPr="00000000">
        <w:rPr>
          <w:rtl w:val="0"/>
        </w:rPr>
        <w:t xml:space="preserve">Counseling Department, Grand Canyon University – Phoenix</w:t>
      </w:r>
    </w:p>
    <w:p w:rsidR="00000000" w:rsidDel="00000000" w:rsidP="00000000" w:rsidRDefault="00000000" w:rsidRPr="00000000" w14:paraId="00000005">
      <w:pPr>
        <w:spacing w:after="0" w:lineRule="auto"/>
        <w:jc w:val="center"/>
        <w:rPr/>
      </w:pPr>
      <w:r w:rsidDel="00000000" w:rsidR="00000000" w:rsidRPr="00000000">
        <w:rPr>
          <w:rtl w:val="0"/>
        </w:rPr>
        <w:t xml:space="preserve">CNL-505, Professional Counseling, Ethical, and Legal Considerations</w:t>
      </w:r>
    </w:p>
    <w:p w:rsidR="00000000" w:rsidDel="00000000" w:rsidP="00000000" w:rsidRDefault="00000000" w:rsidRPr="00000000" w14:paraId="00000006">
      <w:pPr>
        <w:spacing w:after="0" w:lineRule="auto"/>
        <w:jc w:val="center"/>
        <w:rPr/>
      </w:pPr>
      <w:r w:rsidDel="00000000" w:rsidR="00000000" w:rsidRPr="00000000">
        <w:rPr>
          <w:rtl w:val="0"/>
        </w:rPr>
        <w:t xml:space="preserve">Professor </w:t>
      </w:r>
      <w:r w:rsidDel="00000000" w:rsidR="00000000" w:rsidRPr="00000000">
        <w:rPr>
          <w:color w:val="212121"/>
          <w:highlight w:val="white"/>
          <w:rtl w:val="0"/>
        </w:rPr>
        <w:t xml:space="preserve">Veronica Wade-Hampton</w:t>
      </w:r>
      <w:r w:rsidDel="00000000" w:rsidR="00000000" w:rsidRPr="00000000">
        <w:rPr>
          <w:rtl w:val="0"/>
        </w:rPr>
      </w:r>
    </w:p>
    <w:p w:rsidR="00000000" w:rsidDel="00000000" w:rsidP="00000000" w:rsidRDefault="00000000" w:rsidRPr="00000000" w14:paraId="00000007">
      <w:pPr>
        <w:spacing w:after="0" w:lineRule="auto"/>
        <w:jc w:val="center"/>
        <w:rPr/>
      </w:pPr>
      <w:r w:rsidDel="00000000" w:rsidR="00000000" w:rsidRPr="00000000">
        <w:rPr>
          <w:rtl w:val="0"/>
        </w:rPr>
        <w:t xml:space="preserve">5/30/2023</w:t>
      </w:r>
    </w:p>
    <w:p w:rsidR="00000000" w:rsidDel="00000000" w:rsidP="00000000" w:rsidRDefault="00000000" w:rsidRPr="00000000" w14:paraId="00000008">
      <w:pPr>
        <w:spacing w:after="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09">
      <w:pPr>
        <w:spacing w:after="300" w:before="300" w:lineRule="auto"/>
        <w:ind w:firstLine="0"/>
        <w:jc w:val="center"/>
        <w:rPr>
          <w:b w:val="1"/>
        </w:rPr>
      </w:pPr>
      <w:r w:rsidDel="00000000" w:rsidR="00000000" w:rsidRPr="00000000">
        <w:rPr>
          <w:b w:val="1"/>
          <w:rtl w:val="0"/>
        </w:rPr>
        <w:t xml:space="preserve">Counselor Ethics and Responsibilities</w:t>
      </w:r>
    </w:p>
    <w:p w:rsidR="00000000" w:rsidDel="00000000" w:rsidP="00000000" w:rsidRDefault="00000000" w:rsidRPr="00000000" w14:paraId="0000000A">
      <w:pPr>
        <w:spacing w:after="300" w:before="300" w:lineRule="auto"/>
        <w:ind w:firstLine="0"/>
        <w:jc w:val="center"/>
        <w:rPr>
          <w:b w:val="1"/>
        </w:rPr>
      </w:pPr>
      <w:r w:rsidDel="00000000" w:rsidR="00000000" w:rsidRPr="00000000">
        <w:rPr>
          <w:b w:val="1"/>
          <w:rtl w:val="0"/>
        </w:rPr>
        <w:t xml:space="preserve">Introduction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The primary role of counselors is to safeguard client rights while providing effective treatment. Informed consent provides essential information, such as the risks and benefits of treatments, necessary for empowered client decision-making. The responsibility to warn and protect mandates that counselors are responsible for warning potential victims when identifying threats posed by clients against others. Record-keeping is critical because it documents how treatment progresses over time, while protecting data from unauthorized access. Self-care helps counselors cope with stress and burnout. Counselors should advocate for clients who encounter barriers based on race, ethnicity, religion, or gender identity. As professionals bound by ethical and legal codes, dealing with controversial issues through counseling sessions is often challenging, but necessary.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Section 1</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The Counselor’s Role in Protecting Client Rights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Autonomy gives a client power over their treatment plan and decision-making processes, allowing freedom of expression without fear of judgment (Peterson, 2002). Counselors promote autonomy by helping clients make informed choices about their therapeutic goals. For example, a counselor must respect a client's autonomy if the client wants to end therapy after only one session, instead of following the recommended treatment plan.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Nonmaleficence means not causing intention or unintentional harm or injury during therapy. A counselor must prioritize the safety of their clients above all else (Peterson, 2002). To avoid causing harm, counselors must create an environment where clients feel safe expressing themselves, irrespective of what is disclosed. For example, if a counselor suspects that discussing particular information may lead a client to experience emotionally distressing or suicidal thoughts, they may withold that information, even though it might advance treatment. “Mental health professionals cannot predict or prevent all client suicides, but they can learn to recognize common crises that may precipitate a suicide attempt” (Corey et al., 2019).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Beneficence implies acting in the client’s best interest according to professional standards and ethical codes, like the ACA guidelines. For example, a counselor acts on beneficent principles when providing care for patients suffering from depression by utilizing proven treatment approaches, such as Cognitive Behavioral Therapy (CBT). In this case, a counselor may recommend CBT after assessing the client’s mental state and establishing that it's the best treatment plan after considering all pertinent factors.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Justice ensures equality for clients irrespective of differences such as race, gender, and age, and provides equal treatment for patients without discrimination (Peterson, 2002). Justice is critical since counselors may encounter situations where clients require additional support due to systemic oppression. Counselors should address these issues sensitively. For instance, if a counselor notices that one of their clients has been unfairly discriminated against due to their race or gender identity, they should encourage clients to hold others accountable for those actions, when possible, and provide the needed support to do so.</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b w:val="1"/>
        </w:rPr>
      </w:pPr>
      <w:r w:rsidDel="00000000" w:rsidR="00000000" w:rsidRPr="00000000">
        <w:rPr>
          <w:rtl w:val="0"/>
        </w:rPr>
        <w:t xml:space="preserve">Fidelity refers to establishing trust with clients through confidentiality (Peterson, 2002). Confidentiality allows clients the freedom to express themselves without fear of condemnation. Counselors must respect their client's personal information and protect it from unauthorized disclosure at every stage, unless explicitly authorized by the patient. For example, if a client shares information concerning a sexual assault, this information typically remains confidential between the client and counselor unless otherwise specified in writing</w:t>
      </w:r>
      <w:r w:rsidDel="00000000" w:rsidR="00000000" w:rsidRPr="00000000">
        <w:rPr>
          <w:b w:val="1"/>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Informed consent process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The informed consent process protects clients by ensuring they understand their rights related to therapy (Hudgins et al., 2013). Through informed consent processes, patients protect themselves against privacy breaches and protect their billing rights, as well. Providing comprehensive information about fees charged at different stages of therapy allows clients to make informed choices about the affordability of treatment. Without adequate upfront disclosure concerning the financial obligations of therapy, client misunderstandings arise.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Privacy breaches are increasingly common within healthcare systems. Informed consent protects clients by informing them of the steps taken to safeguard their private information (Hudgins et al., 2013). It ensures that the client's personal data stays private, as well as specifying how it can be legally shared. Clients should be informed about what types of data will be collected (e.g., case notes), how the information will be used, who has access to it, and how long it will be stored after termination of services.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HIPAA protects patient confidentiality by regulating how healthcare providers handle personal health information. HIPAA requires counselors who have access to PHI data, such as diagnoses, to actively safeguard patient data. This is especially important during administrative operations, like client billing. Informed consent processes ensure that clients know how their PHI data will be used and stored. Credentialing board requirements provide a framework for ensuring that effective informed consent processes are incorporated into a counseling practice. The APA Ethics Code requires that counselors obtain informed consent from patients before initiating treatment.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center"/>
        <w:rPr>
          <w:b w:val="1"/>
        </w:rPr>
      </w:pPr>
      <w:r w:rsidDel="00000000" w:rsidR="00000000" w:rsidRPr="00000000">
        <w:rPr>
          <w:b w:val="1"/>
          <w:rtl w:val="0"/>
        </w:rPr>
        <w:t xml:space="preserve">Section 2</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"Duty to warn" refers to a counselor's obligation to inform an individual or authorities about a client who poses a danger of harming themselves or others. Additionally, there is a “duty-to-protect" when there are specific threats made by patients toward identifiable victims (Chaimowitz et al., 2000). Both duties apply only when there is evidence that danger exists. The duty to warn and protect can be triggered by the severity of the threat, its immediacy, and its specificity. Counselors must follow legal and ethical standards, striving for client confidentiality and privacy while recognizing exceptions for imminent danger.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The second factor is imminent threat; counselors must assess whether a client's behavior indicates danger to themselves or others. Counselors should consider the patient's history of violence, threats made towards others, and their current mental status. If counselors fear their client is in imminent danger, they must safeguard them (Chaimowitz et al., 2000). This duty depends on risk, timeliness, and severity.  A credible threat may require an urgent warning. However, ambiguous expressions of harm may require further evaluation. Counseling confidentiality and informed consent are important, but not total. Counselors should inform clients about privacy rights upfront, and explain the circumstances under which a confidentiality breach may be required.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left"/>
        <w:rPr>
          <w:b w:val="1"/>
        </w:rPr>
      </w:pPr>
      <w:r w:rsidDel="00000000" w:rsidR="00000000" w:rsidRPr="00000000">
        <w:rPr>
          <w:rtl w:val="0"/>
        </w:rPr>
        <w:tab/>
        <w:t xml:space="preserve">Arizona law mandates that counselors take reasonable actions to ensure that persons threatened by their clients' do not become victims. Arizona Revised Statutes dictate a duty to warn and protect when a patient threatens immediate significant physical damage or death to a designated victim, or  has the obvious purpose and ability to carry out the threat (APA, 2023). The Act prohibits liability for third-party harm in all other cases. Under the statute, the counselor must alert victims and law enforcement of threats, take reasonable steps to hospitalize the client, and invoke any other safeguards necessary.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Section 3: Client Record-Keeping</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Clients have the right to receive competent services from counselors. Proper record-keeping ensures that clients receive a high standard of care by documenting the details of each session accurately. Counselors must track client progress over time by reviewing notes on previous sessions, which can inform future treatment plans and ensure that clients get the best possible care (Drogin et al., 2010). Record-keeping is a crucial aspect of counseling because it allows accurate documentation of a client's treatment plans, progress, and outcomes.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Accurate records protect counselors from malpractice by demonstrating appropriate care based on documented consultations and observations. Detailed records prove that a counselor acted within their scope of training while providing effective treatments. Record-keeping informs clients about their confidentiality rights, since private information is captured in session through notes or a system like EHRs (Electronic Health Records). It also helps clients understand what data might be shared, if necessary, between healthcare providers.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There are benefits to storing client records electronically, such as reduced physical space required, quicker retrieval times, easier sharing, transferability options (with appropriate permissions), and the ability to backup data. However, cyber-attacks or other data leaks could compromise confidential information and lead to privacy breaches (Drogin et al., 2010). Counselors must follow legal and ethical guidelines when it comes to record-keeping and protecting client information, like obtaining informed consent before documenting any sensitive client data. Counselors must ensure that they comply with all local, state, and federal laws related to confidentiality and privacy rights.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Part Two: Section 4: Self-Care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Counselors must prioritize their own well-being to prevent work-related stress from affecting their work performance negatively (Bradley et al., 2013). According to ACA (2014), "Counselors must engage in self-care activities” to maintain emotional stability, physical health, and overall wellness, allowing continued positive interactions between client and counselor.. My plan for maintaining a healthy work/life balance includes setting boundaries by avoiding emails outside of working hours; prioritizing my health through regular exercise; engaging in meditation; eating healthy foods; and getting adequate sleep.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In the past, I have engaged in self-care activities like yoga, dance, social time with friends, and reading.. Recently, I started a mindfulness practice involving meditation for at least ten minutes daily before work. Engaging in these activities creates a balance between my personal and professional responsibilities. I am also considering stress management techniques like deep breathing exercises or progressive muscle relaxation. These techniques are beneficial since they reduce anxiety levels while improving overall well-being.</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Counselor symptoms that suggest the need for treatment include exhaustion, increased irritability,  decreased job satisfaction, apathy toward clients, and substance use disorders. When encountering these symptoms, counselors should seek help from colleagues for support. Counselors often face challenges managing other people's problems while neglecting their personal issues, which leads to compassion fatigue. Receiving counseling helps therapists gain insight into a client’s treatment experience first-hand. Though not mandatory, receiving therapy can help counselors maintain their mental well-being.</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Section 5: Advocacy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Homelessness is a significant current issue, especially in my home state of Washington. Despite efforts by government and private organizations, homelessness remains prevalent. As a special education teacher focused on students living with disabilities, and as a woman who fled domestic violence in the past, I am cognizant that intersectionality exists in many of these cases. For instance, disabled victims of human trafficking may end up displaced due to their vulnerabilities. By being active in advocacy groups, I can bring attention to issues affecting these disadvantaged populations.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jc w:val="left"/>
        <w:rPr/>
      </w:pPr>
      <w:r w:rsidDel="00000000" w:rsidR="00000000" w:rsidRPr="00000000">
        <w:rPr>
          <w:rtl w:val="0"/>
        </w:rPr>
        <w:t xml:space="preserve">According to A.7.a, counselors have a legal and ethical responsibility to advocate for their client's rights to essential services like housing, employment, and healthcare (ACA, 2014). Additionally, counselors should advance policies that empower those experiencing homelessness to break out of poverty cycles. Social justice is an important factor when discussing grants for homeless individuals. The ACA released a statement calling on members to actively advocate for this cause, pointing out that counselors should promote equity, access, participation, and harmony within society.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Section 6: Counselor Values (Assisted suicide)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720"/>
        <w:rPr/>
      </w:pPr>
      <w:r w:rsidDel="00000000" w:rsidR="00000000" w:rsidRPr="00000000">
        <w:rPr>
          <w:rtl w:val="0"/>
        </w:rPr>
        <w:t xml:space="preserve">Assisted suicide remains a controversial issue. Some believe that it is acceptable to help terminal patients end their lives to minimize suffering, while others see it as morally wrong and against the sanctity of life principle. As a counselor, one's personal values on assisted suicide may impact the way one interacts with clients considering such cases (Cohen, 2001). A counselor’s role as the advocate for their client’s welfare. If a client wishes to seek a physician-assisted death, it will be essential for me to consider many relevant factors. First, I must determine why the client sees this option as preferable over other alternatives, like palliative care plans. Educating myself about how families cope during similar situations could also provide valuable insight into what support measures might benefit the client.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rPr>
          <w:b w:val="1"/>
        </w:rPr>
      </w:pPr>
      <w:r w:rsidDel="00000000" w:rsidR="00000000" w:rsidRPr="00000000">
        <w:rPr>
          <w:rtl w:val="0"/>
        </w:rPr>
        <w:tab/>
        <w:t xml:space="preserve">The American Counseling Association’s code of ethics provides guidance and support to counselors. Counselors should be familiar with these codes and specific areas of responsibility. According to I.1.a., lack of knowledge cannot be presented as a defense for a charge of unethical conduct (ACA, 2014). Counselors must recognize when personal values contradict these standards, leading to conflicts in decision-making, or professional behavior. A counselor may experience value conflicts with individuals that hold strong views on sensitive issues, such as euthanasia. In such situations,  external influences must not interfere with professional judgment. A counseling session is the client's time to express themselves without fear. Thus, when handling topics like assisted suicide, it will be crucial that I create an environment free from any external pressure and full of understanding.  </w:t>
      </w:r>
      <w:r w:rsidDel="00000000" w:rsidR="00000000" w:rsidRPr="00000000">
        <w:rPr>
          <w:b w:val="1"/>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b w:val="1"/>
        </w:rPr>
      </w:pPr>
      <w:r w:rsidDel="00000000" w:rsidR="00000000" w:rsidRPr="00000000">
        <w:rPr>
          <w:b w:val="1"/>
          <w:rtl w:val="0"/>
        </w:rPr>
        <w:t xml:space="preserve">Conclusion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rPr/>
      </w:pPr>
      <w:r w:rsidDel="00000000" w:rsidR="00000000" w:rsidRPr="00000000">
        <w:rPr>
          <w:rtl w:val="0"/>
        </w:rPr>
        <w:tab/>
        <w:t xml:space="preserve">Counselor ethics and responsibilities must guide practitioners' decision-making while interacting with clients. The ACA code aims to protect client rights during treatment, such as informed consent process, protection against harm and danger from third parties and clients themselves, and record-keeping advocacy. Often, these efforts are related to legal challenges surrounding sensitive topics, such as assisted suicide. Adherence to code ensures effective counseling practices and positive outcomes for all involved parties.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480" w:lineRule="auto"/>
        <w:ind w:left="0" w:right="0" w:firstLine="0"/>
        <w:jc w:val="center"/>
        <w:rPr/>
      </w:pPr>
      <w:r w:rsidDel="00000000" w:rsidR="00000000" w:rsidRPr="00000000">
        <w:rPr>
          <w:b w:val="1"/>
          <w:rtl w:val="0"/>
        </w:rPr>
        <w:tab/>
        <w:t xml:space="preserve">References </w:t>
      </w:r>
      <w:r w:rsidDel="00000000" w:rsidR="00000000" w:rsidRPr="00000000">
        <w:rPr>
          <w:rtl w:val="0"/>
        </w:rPr>
      </w:r>
    </w:p>
    <w:p w:rsidR="00000000" w:rsidDel="00000000" w:rsidP="00000000" w:rsidRDefault="00000000" w:rsidRPr="00000000" w14:paraId="0000002C">
      <w:pPr>
        <w:pBdr>
          <w:left w:color="000000" w:space="0" w:sz="0" w:val="none"/>
        </w:pBdr>
        <w:spacing w:after="0" w:lineRule="auto"/>
        <w:ind w:left="720" w:hanging="720"/>
        <w:rPr>
          <w:u w:val="single"/>
        </w:rPr>
      </w:pPr>
      <w:r w:rsidDel="00000000" w:rsidR="00000000" w:rsidRPr="00000000">
        <w:rPr>
          <w:rtl w:val="0"/>
        </w:rPr>
        <w:t xml:space="preserve">ACA. (2014). 2014 ACA Code of Ethics. </w:t>
      </w:r>
      <w:r w:rsidDel="00000000" w:rsidR="00000000" w:rsidRPr="00000000">
        <w:rPr>
          <w:u w:val="single"/>
          <w:rtl w:val="0"/>
        </w:rPr>
        <w:t xml:space="preserve">https://www.counseling.org/resources/aca-code-of-ethics.pdf</w:t>
      </w:r>
    </w:p>
    <w:p w:rsidR="00000000" w:rsidDel="00000000" w:rsidP="00000000" w:rsidRDefault="00000000" w:rsidRPr="00000000" w14:paraId="0000002D">
      <w:pPr>
        <w:pBdr>
          <w:left w:color="000000" w:space="0" w:sz="0" w:val="none"/>
        </w:pBdr>
        <w:spacing w:after="0" w:lineRule="auto"/>
        <w:ind w:left="720" w:hanging="720"/>
        <w:rPr/>
      </w:pPr>
      <w:r w:rsidDel="00000000" w:rsidR="00000000" w:rsidRPr="00000000">
        <w:rPr>
          <w:rtl w:val="0"/>
        </w:rPr>
        <w:t xml:space="preserve">APA. (2023). Appendix. </w:t>
      </w:r>
      <w:r w:rsidDel="00000000" w:rsidR="00000000" w:rsidRPr="00000000">
        <w:rPr>
          <w:u w:val="single"/>
          <w:rtl w:val="0"/>
        </w:rPr>
        <w:t xml:space="preserve">https://www.apa.org/pubs/books/supplemental/Duty-to-Protect/dutytoprotect.pdf </w:t>
      </w:r>
      <w:r w:rsidDel="00000000" w:rsidR="00000000" w:rsidRPr="00000000">
        <w:rPr>
          <w:rtl w:val="0"/>
        </w:rPr>
        <w:t xml:space="preserve">              </w:t>
      </w:r>
    </w:p>
    <w:p w:rsidR="00000000" w:rsidDel="00000000" w:rsidP="00000000" w:rsidRDefault="00000000" w:rsidRPr="00000000" w14:paraId="0000002E">
      <w:pPr>
        <w:pBdr>
          <w:left w:color="000000" w:space="0" w:sz="0" w:val="none"/>
        </w:pBdr>
        <w:spacing w:after="0" w:lineRule="auto"/>
        <w:ind w:left="720" w:hanging="720"/>
        <w:rPr/>
      </w:pPr>
      <w:r w:rsidDel="00000000" w:rsidR="00000000" w:rsidRPr="00000000">
        <w:rPr>
          <w:rtl w:val="0"/>
        </w:rPr>
        <w:t xml:space="preserve">Bradley, N., Whisenhunt, J., Adamson, N., &amp; Kress, V. E. (2013). Creative approaches for promoting counselor self-care. Journal of Creativity in Mental Health, 8(4), 456-469.</w:t>
      </w:r>
    </w:p>
    <w:p w:rsidR="00000000" w:rsidDel="00000000" w:rsidP="00000000" w:rsidRDefault="00000000" w:rsidRPr="00000000" w14:paraId="0000002F">
      <w:pPr>
        <w:pBdr>
          <w:left w:color="000000" w:space="0" w:sz="0" w:val="none"/>
        </w:pBdr>
        <w:spacing w:after="0" w:lineRule="auto"/>
        <w:ind w:left="720" w:hanging="720"/>
        <w:rPr/>
      </w:pPr>
      <w:r w:rsidDel="00000000" w:rsidR="00000000" w:rsidRPr="00000000">
        <w:rPr>
          <w:rtl w:val="0"/>
        </w:rPr>
        <w:t xml:space="preserve">Chaimowitz, G. A., Glancy, G. D., &amp; Blackburn, J. (2000). The duty to warn and protect—Impact on practice. The Canadian Journal of Psychiatry, 45(10), 899-904.</w:t>
      </w:r>
    </w:p>
    <w:p w:rsidR="00000000" w:rsidDel="00000000" w:rsidP="00000000" w:rsidRDefault="00000000" w:rsidRPr="00000000" w14:paraId="00000030">
      <w:pPr>
        <w:pBdr>
          <w:left w:color="000000" w:space="0" w:sz="0" w:val="none"/>
        </w:pBdr>
        <w:spacing w:after="0" w:lineRule="auto"/>
        <w:ind w:left="720" w:hanging="720"/>
        <w:rPr/>
      </w:pPr>
      <w:r w:rsidDel="00000000" w:rsidR="00000000" w:rsidRPr="00000000">
        <w:rPr>
          <w:rtl w:val="0"/>
        </w:rPr>
        <w:t xml:space="preserve">Cohen, E. D. (2001). Permitting suicide in philosophical counseling. International Journal of Philosophical Practice, 1(1), 65-79.</w:t>
      </w:r>
    </w:p>
    <w:p w:rsidR="00000000" w:rsidDel="00000000" w:rsidP="00000000" w:rsidRDefault="00000000" w:rsidRPr="00000000" w14:paraId="00000031">
      <w:pPr>
        <w:pBdr>
          <w:left w:color="000000" w:space="0" w:sz="0" w:val="none"/>
        </w:pBdr>
        <w:spacing w:after="0" w:lineRule="auto"/>
        <w:ind w:left="720" w:hanging="720"/>
        <w:rPr/>
      </w:pPr>
      <w:r w:rsidDel="00000000" w:rsidR="00000000" w:rsidRPr="00000000">
        <w:rPr>
          <w:rtl w:val="0"/>
        </w:rPr>
        <w:t xml:space="preserve">Corey, G., Corey, M. S., &amp; Corey, C. (2019). </w:t>
      </w:r>
      <w:r w:rsidDel="00000000" w:rsidR="00000000" w:rsidRPr="00000000">
        <w:rPr>
          <w:i w:val="1"/>
          <w:rtl w:val="0"/>
        </w:rPr>
        <w:t xml:space="preserve">Issues &amp; Ethics in the Helping Professions</w:t>
      </w:r>
      <w:r w:rsidDel="00000000" w:rsidR="00000000" w:rsidRPr="00000000">
        <w:rPr>
          <w:rtl w:val="0"/>
        </w:rPr>
        <w:t xml:space="preserve"> (10th ed.). Cengage Learning.</w:t>
      </w:r>
    </w:p>
    <w:p w:rsidR="00000000" w:rsidDel="00000000" w:rsidP="00000000" w:rsidRDefault="00000000" w:rsidRPr="00000000" w14:paraId="00000032">
      <w:pPr>
        <w:pBdr>
          <w:left w:color="000000" w:space="0" w:sz="0" w:val="none"/>
        </w:pBdr>
        <w:spacing w:after="0" w:lineRule="auto"/>
        <w:ind w:left="720" w:hanging="720"/>
        <w:rPr/>
      </w:pPr>
      <w:r w:rsidDel="00000000" w:rsidR="00000000" w:rsidRPr="00000000">
        <w:rPr>
          <w:rtl w:val="0"/>
        </w:rPr>
        <w:t xml:space="preserve">Drogin, E. Y., Connell, M., Foote, W. E., &amp; Sturm, C. A. (2010). The American Psychological Association's revised “record keeping guidelines”: Implications for the practitioner. Professional Psychology: Research and Practice, 41(3), 236.</w:t>
      </w:r>
    </w:p>
    <w:p w:rsidR="00000000" w:rsidDel="00000000" w:rsidP="00000000" w:rsidRDefault="00000000" w:rsidRPr="00000000" w14:paraId="00000033">
      <w:pPr>
        <w:pBdr>
          <w:left w:color="000000" w:space="0" w:sz="0" w:val="none"/>
        </w:pBdr>
        <w:spacing w:after="0" w:lineRule="auto"/>
        <w:ind w:left="720" w:hanging="720"/>
        <w:rPr/>
      </w:pPr>
      <w:r w:rsidDel="00000000" w:rsidR="00000000" w:rsidRPr="00000000">
        <w:rPr>
          <w:rtl w:val="0"/>
        </w:rPr>
        <w:t xml:space="preserve">Hudgins, C., Rose, S., Fifield, P. Y., &amp; Arnault, S. (2013). Navigating the legal and ethical foundations of informed consent and confidentiality in integrated primary care. Families, Systems, &amp; Health, 31(1), 9.</w:t>
      </w:r>
    </w:p>
    <w:p w:rsidR="00000000" w:rsidDel="00000000" w:rsidP="00000000" w:rsidRDefault="00000000" w:rsidRPr="00000000" w14:paraId="00000034">
      <w:pPr>
        <w:pBdr>
          <w:left w:color="000000" w:space="0" w:sz="0" w:val="none"/>
        </w:pBdr>
        <w:spacing w:after="0" w:lineRule="auto"/>
        <w:ind w:left="720" w:hanging="720"/>
        <w:rPr/>
      </w:pPr>
      <w:r w:rsidDel="00000000" w:rsidR="00000000" w:rsidRPr="00000000">
        <w:rPr>
          <w:rtl w:val="0"/>
        </w:rPr>
        <w:t xml:space="preserve">Peterson, Z. D. (2002). More than a mirror: The ethics of therapist self-disclosure. Psychotherapy: Theory, Research, Practice, Training, 39(1), 21.</w:t>
      </w:r>
    </w:p>
    <w:p w:rsidR="00000000" w:rsidDel="00000000" w:rsidP="00000000" w:rsidRDefault="00000000" w:rsidRPr="00000000" w14:paraId="00000035">
      <w:pPr>
        <w:pBdr>
          <w:left w:color="000000" w:space="0" w:sz="0" w:val="none"/>
        </w:pBdr>
        <w:spacing w:after="0" w:lineRule="auto"/>
        <w:ind w:left="720" w:hanging="720"/>
        <w:rPr/>
      </w:pPr>
      <w:r w:rsidDel="00000000" w:rsidR="00000000" w:rsidRPr="00000000">
        <w:rPr>
          <w:rtl w:val="0"/>
        </w:rPr>
      </w:r>
    </w:p>
    <w:p w:rsidR="00000000" w:rsidDel="00000000" w:rsidP="00000000" w:rsidRDefault="00000000" w:rsidRPr="00000000" w14:paraId="00000036">
      <w:pPr>
        <w:pBdr>
          <w:left w:color="000000" w:space="0" w:sz="0" w:val="none"/>
        </w:pBdr>
        <w:spacing w:after="0" w:lineRule="auto"/>
        <w:ind w:left="720" w:hanging="720"/>
        <w:rPr/>
      </w:pPr>
      <w:r w:rsidDel="00000000" w:rsidR="00000000" w:rsidRPr="00000000">
        <w:rPr>
          <w:rtl w:val="0"/>
        </w:rPr>
      </w:r>
    </w:p>
    <w:p w:rsidR="00000000" w:rsidDel="00000000" w:rsidP="00000000" w:rsidRDefault="00000000" w:rsidRPr="00000000" w14:paraId="00000037">
      <w:pPr>
        <w:spacing w:after="0" w:lineRule="auto"/>
        <w:ind w:left="720" w:hanging="720"/>
        <w:rPr>
          <w:u w:val="single"/>
        </w:rPr>
      </w:pPr>
      <w:r w:rsidDel="00000000" w:rsidR="00000000" w:rsidRPr="00000000">
        <w:rPr>
          <w:rtl w:val="0"/>
        </w:rPr>
      </w:r>
    </w:p>
    <w:p w:rsidR="00000000" w:rsidDel="00000000" w:rsidP="00000000" w:rsidRDefault="00000000" w:rsidRPr="00000000" w14:paraId="00000038">
      <w:pPr>
        <w:spacing w:after="0" w:lineRule="auto"/>
        <w:ind w:left="0" w:firstLine="0"/>
        <w:rPr/>
      </w:pPr>
      <w:r w:rsidDel="00000000" w:rsidR="00000000" w:rsidRPr="00000000">
        <w:rPr>
          <w:rtl w:val="0"/>
        </w:rPr>
      </w:r>
    </w:p>
    <w:sectPr>
      <w:headerReference r:id="rId7" w:type="default"/>
      <w:headerReference r:id="rId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3840" w:lineRule="auto"/>
      <w:jc w:val="center"/>
    </w:pPr>
    <w:rPr/>
  </w:style>
  <w:style w:type="paragraph" w:styleId="Heading2">
    <w:name w:val="heading 2"/>
    <w:basedOn w:val="Normal"/>
    <w:next w:val="Normal"/>
    <w:pPr>
      <w:ind w:firstLine="0"/>
      <w:jc w:val="center"/>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3840" w:lineRule="auto"/>
      <w:jc w:val="center"/>
    </w:pPr>
    <w:rPr/>
  </w:style>
  <w:style w:type="paragraph" w:styleId="Heading2">
    <w:name w:val="heading 2"/>
    <w:basedOn w:val="Normal"/>
    <w:next w:val="Normal"/>
    <w:pPr>
      <w:ind w:firstLine="0"/>
      <w:jc w:val="center"/>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3840" w:lineRule="auto"/>
      <w:jc w:val="center"/>
    </w:pPr>
    <w:rPr/>
  </w:style>
  <w:style w:type="paragraph" w:styleId="Heading2">
    <w:name w:val="heading 2"/>
    <w:basedOn w:val="Normal"/>
    <w:next w:val="Normal"/>
    <w:pPr>
      <w:ind w:firstLine="0"/>
      <w:jc w:val="center"/>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4379C"/>
    <w:pPr>
      <w:spacing w:line="480" w:lineRule="auto"/>
      <w:ind w:firstLine="720"/>
    </w:pPr>
    <w:rPr>
      <w:rFonts w:ascii="Times New Roman" w:cs="Times New Roman" w:hAnsi="Times New Roman"/>
      <w:sz w:val="24"/>
    </w:rPr>
  </w:style>
  <w:style w:type="paragraph" w:styleId="Heading1">
    <w:name w:val="heading 1"/>
    <w:basedOn w:val="Normal"/>
    <w:next w:val="Normal"/>
    <w:link w:val="Heading1Char"/>
    <w:uiPriority w:val="9"/>
    <w:qFormat w:val="1"/>
    <w:rsid w:val="00C4379C"/>
    <w:pPr>
      <w:spacing w:before="3840"/>
      <w:jc w:val="center"/>
      <w:outlineLvl w:val="0"/>
    </w:pPr>
  </w:style>
  <w:style w:type="paragraph" w:styleId="Heading2">
    <w:name w:val="heading 2"/>
    <w:basedOn w:val="Normal"/>
    <w:next w:val="Normal"/>
    <w:link w:val="Heading2Char"/>
    <w:uiPriority w:val="9"/>
    <w:unhideWhenUsed w:val="1"/>
    <w:qFormat w:val="1"/>
    <w:rsid w:val="008752D8"/>
    <w:pPr>
      <w:ind w:firstLine="0"/>
      <w:jc w:val="center"/>
      <w:outlineLvl w:val="1"/>
    </w:pPr>
    <w:rPr>
      <w:b w:val="1"/>
    </w:rPr>
  </w:style>
  <w:style w:type="paragraph" w:styleId="Heading5">
    <w:name w:val="heading 5"/>
    <w:basedOn w:val="Normal"/>
    <w:next w:val="Normal"/>
    <w:link w:val="Heading5Char"/>
    <w:uiPriority w:val="9"/>
    <w:semiHidden w:val="1"/>
    <w:unhideWhenUsed w:val="1"/>
    <w:qFormat w:val="1"/>
    <w:rsid w:val="0092781F"/>
    <w:pPr>
      <w:keepNext w:val="1"/>
      <w:keepLines w:val="1"/>
      <w:spacing w:after="0" w:before="40"/>
      <w:outlineLvl w:val="4"/>
    </w:pPr>
    <w:rPr>
      <w:rFonts w:asciiTheme="majorHAnsi" w:cstheme="majorBidi" w:eastAsiaTheme="majorEastAsia" w:hAnsiTheme="majorHAnsi"/>
      <w:color w:val="2e74b5"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76B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76BF1"/>
  </w:style>
  <w:style w:type="paragraph" w:styleId="Footer">
    <w:name w:val="footer"/>
    <w:basedOn w:val="Normal"/>
    <w:link w:val="FooterChar"/>
    <w:uiPriority w:val="99"/>
    <w:unhideWhenUsed w:val="1"/>
    <w:rsid w:val="00876B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76BF1"/>
  </w:style>
  <w:style w:type="character" w:styleId="Hyperlink">
    <w:name w:val="Hyperlink"/>
    <w:basedOn w:val="DefaultParagraphFont"/>
    <w:uiPriority w:val="99"/>
    <w:unhideWhenUsed w:val="1"/>
    <w:rsid w:val="002E077C"/>
    <w:rPr>
      <w:color w:val="0563c1" w:themeColor="hyperlink"/>
      <w:u w:val="single"/>
    </w:rPr>
  </w:style>
  <w:style w:type="character" w:styleId="Heading1Char" w:customStyle="1">
    <w:name w:val="Heading 1 Char"/>
    <w:basedOn w:val="DefaultParagraphFont"/>
    <w:link w:val="Heading1"/>
    <w:uiPriority w:val="9"/>
    <w:rsid w:val="00C4379C"/>
    <w:rPr>
      <w:rFonts w:ascii="Times New Roman" w:cs="Times New Roman" w:hAnsi="Times New Roman"/>
      <w:sz w:val="24"/>
    </w:rPr>
  </w:style>
  <w:style w:type="character" w:styleId="Heading2Char" w:customStyle="1">
    <w:name w:val="Heading 2 Char"/>
    <w:basedOn w:val="DefaultParagraphFont"/>
    <w:link w:val="Heading2"/>
    <w:uiPriority w:val="9"/>
    <w:rsid w:val="008752D8"/>
    <w:rPr>
      <w:rFonts w:ascii="Times New Roman" w:cs="Times New Roman" w:hAnsi="Times New Roman"/>
      <w:b w:val="1"/>
      <w:sz w:val="24"/>
    </w:rPr>
  </w:style>
  <w:style w:type="paragraph" w:styleId="NoSpacing">
    <w:name w:val="No Spacing"/>
    <w:basedOn w:val="Normal"/>
    <w:uiPriority w:val="1"/>
    <w:qFormat w:val="1"/>
    <w:rsid w:val="00C4379C"/>
  </w:style>
  <w:style w:type="paragraph" w:styleId="Quote">
    <w:name w:val="Quote"/>
    <w:basedOn w:val="Normal"/>
    <w:next w:val="Normal"/>
    <w:link w:val="QuoteChar"/>
    <w:uiPriority w:val="29"/>
    <w:qFormat w:val="1"/>
    <w:rsid w:val="00501369"/>
    <w:pPr>
      <w:ind w:left="720" w:firstLine="0"/>
    </w:pPr>
  </w:style>
  <w:style w:type="character" w:styleId="QuoteChar" w:customStyle="1">
    <w:name w:val="Quote Char"/>
    <w:basedOn w:val="DefaultParagraphFont"/>
    <w:link w:val="Quote"/>
    <w:uiPriority w:val="29"/>
    <w:rsid w:val="00501369"/>
    <w:rPr>
      <w:rFonts w:ascii="Times New Roman" w:cs="Times New Roman" w:hAnsi="Times New Roman"/>
      <w:sz w:val="24"/>
    </w:rPr>
  </w:style>
  <w:style w:type="character" w:styleId="Heading5Char" w:customStyle="1">
    <w:name w:val="Heading 5 Char"/>
    <w:basedOn w:val="DefaultParagraphFont"/>
    <w:link w:val="Heading5"/>
    <w:uiPriority w:val="9"/>
    <w:semiHidden w:val="1"/>
    <w:rsid w:val="0092781F"/>
    <w:rPr>
      <w:rFonts w:asciiTheme="majorHAnsi" w:cstheme="majorBidi" w:eastAsiaTheme="majorEastAsia" w:hAnsiTheme="majorHAnsi"/>
      <w:color w:val="2e74b5" w:themeColor="accent1" w:themeShade="0000BF"/>
      <w:sz w:val="24"/>
    </w:rPr>
  </w:style>
  <w:style w:type="paragraph" w:styleId="NormalWeb">
    <w:name w:val="Normal (Web)"/>
    <w:basedOn w:val="Normal"/>
    <w:uiPriority w:val="99"/>
    <w:unhideWhenUsed w:val="1"/>
    <w:rsid w:val="0092781F"/>
    <w:pPr>
      <w:spacing w:after="100" w:afterAutospacing="1" w:before="100" w:beforeAutospacing="1" w:line="240" w:lineRule="auto"/>
      <w:ind w:firstLine="0"/>
    </w:pPr>
    <w:rPr>
      <w:rFonts w:eastAsia="Times New Roman"/>
      <w:szCs w:val="24"/>
    </w:rPr>
  </w:style>
  <w:style w:type="character" w:styleId="UnresolvedMention">
    <w:name w:val="Unresolved Mention"/>
    <w:basedOn w:val="DefaultParagraphFont"/>
    <w:uiPriority w:val="99"/>
    <w:semiHidden w:val="1"/>
    <w:unhideWhenUsed w:val="1"/>
    <w:rsid w:val="00F3177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ycJUG69vv/xyljc+AxSStOjnhA==">CgMxLjA4AHIhMU9mZ2J0cURudTgwYkdNYVo5aWJ1VXpKektVN2ZtcnVw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2023-05-02T20:49:00Z</dcterms:created>
  <dc:creator>scgillespie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bad0790711382dca6aa476355cbf607bb850d3e107aea6bcfbf0605e49df4e0a</vt:lpwstr>
  </property>
</Properties>
</file>