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Terah Partridge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5/25/26</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jc w:val="center"/>
        <w:rPr>
          <w:rFonts w:ascii="Times New Roman" w:cs="Times New Roman" w:eastAsia="Times New Roman" w:hAnsi="Times New Roman"/>
          <w:sz w:val="24"/>
          <w:szCs w:val="24"/>
          <w:u w:val="single"/>
        </w:rPr>
      </w:pPr>
      <w:bookmarkStart w:colFirst="0" w:colLast="0" w:name="_77n329jcoqt9" w:id="0"/>
      <w:bookmarkEnd w:id="0"/>
      <w:r w:rsidDel="00000000" w:rsidR="00000000" w:rsidRPr="00000000">
        <w:rPr>
          <w:rFonts w:ascii="Times New Roman" w:cs="Times New Roman" w:eastAsia="Times New Roman" w:hAnsi="Times New Roman"/>
          <w:sz w:val="24"/>
          <w:szCs w:val="24"/>
          <w:u w:val="single"/>
          <w:rtl w:val="0"/>
        </w:rPr>
        <w:t xml:space="preserve">Genuineness Reflection</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“Elements of a Successful Therapeutic Relationship” artifact from CNL-515 marked an important stage in the development of my counselor identity because it challenged me to examine how my personal values, self-awareness, and counseling presence influence the therapeutic relationship. At the time I created this artifact, I focused heavily on demonstrating empathy, active listening, and foundational counseling skills. Through continued coursework, internship experiences, supervision, and self-reflection, I now understand that genuineness requires more than demonstrating counseling techniques. It requires authenticity, emotional awareness, ethical consistency, and the willingness to remain fully present with clients while maintaining professional boundaries.</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 revised this artifact for my e-Portfolio, I intentionally expanded my reflection on authenticity and counselor presence. In the original paper, I discussed empathy, acceptance, and psychological fitness as counselor dispositions that contribute to therapeutic effectiveness. I now recognize that these dispositions are interconnected with genuineness because clients often respond not only to clinical interventions, but also to the counselor’s ability to remain emotionally congruent, transparent, and grounded during difficult conversations. My internship experiences strengthened my awareness that clients quickly recognize when a counselor is overly scripted, emotionally guarded, or attempting to appear perfect. I learned that genuine therapeutic relationships develop through consistency, attunement, honesty, and appropriate emotional presence.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significant areas of growth involved increasing my self-awareness during sessions. Earlier in my training, I focused heavily on using the “right” counseling responses and maintaining structure. While structure remains important, supervision and clinical experience helped me become more comfortable trusting the therapeutic process and allowing authentic connection to guide interactions. I became more aware of my own emotional reactions, internal assumptions, and areas where anxiety or self-doubt influenced my counseling style. This awareness improved my ability to remain present, responsive, and intentional during sessions rather than relying solely on technique.</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Kolden et al. (2018) described genuineness as both an intrapersonal and interpersonal process: “Mindful genuineness, personal awareness, and authenticity characterize the intrapersonal element. The capacity to respectfully and transparently give voice to ones' experience to another person characterizes the interpersonal component” (Kolden et al., 2018). This quote reflects my development as a counselor-in-training because I have learned that genuineness begins with self-awareness and extends into the therapeutic relationship through authentic and ethically appropriate interactions with clients.</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understanding of ACA Code of Ethics standards A.1.a and A.4.b also deepened throughout this process. I recognize that promoting client welfare requires authentic engagement and emotional presence, not simply clinical knowledge. I also understand that counselors must remain aware of their own values, attitudes, and personal experiences to avoid imposing them onto clients. As I continue developing professionally, I plan to strengthen my genuineness through ongoing supervision, reflective practice, mindfulness, and continued self-evaluation. I want clients to experience therapy as a space where they feel emotionally safe, respected, understood, and genuinely connected.</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artifact demonstrates growth related to CACREP standards 2.F.5.f and 2.F.2.h through the development of helping relationships, counselor characteristics, and self-awareness that support ethical and effective clinical practice. My experiences throughout the program helped me move beyond simply learning counseling skills toward developing a more authentic professional identity grounded in empathy, congruence, and intentional self-reflection.</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Kolden, G. G., Wang, C.-C., Austin, S. B., Chang, Y., &amp; Klein, M. H. (2018). Congruence/genuineness: A meta-analysis. </w:t>
      </w:r>
      <w:r w:rsidDel="00000000" w:rsidR="00000000" w:rsidRPr="00000000">
        <w:rPr>
          <w:rFonts w:ascii="Times New Roman" w:cs="Times New Roman" w:eastAsia="Times New Roman" w:hAnsi="Times New Roman"/>
          <w:i w:val="1"/>
          <w:iCs w:val="1"/>
          <w:sz w:val="24"/>
          <w:szCs w:val="24"/>
          <w:rtl w:val="0"/>
        </w:rPr>
        <w:t xml:space="preserve">Psychotherapy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55</w:t>
      </w:r>
      <w:r w:rsidDel="00000000" w:rsidR="00000000" w:rsidRPr="00000000">
        <w:rPr>
          <w:rFonts w:ascii="Times New Roman" w:cs="Times New Roman" w:eastAsia="Times New Roman" w:hAnsi="Times New Roman"/>
          <w:sz w:val="24"/>
          <w:szCs w:val="24"/>
          <w:rtl w:val="0"/>
        </w:rPr>
        <w:t xml:space="preserve">(4), 424–433. </w:t>
      </w:r>
      <w:hyperlink r:id="rId6">
        <w:r w:rsidDel="00000000" w:rsidR="00000000" w:rsidRPr="00000000">
          <w:rPr>
            <w:rFonts w:ascii="Times New Roman" w:cs="Times New Roman" w:eastAsia="Times New Roman" w:hAnsi="Times New Roman"/>
            <w:color w:val="1155cc"/>
            <w:sz w:val="24"/>
            <w:szCs w:val="24"/>
            <w:u w:val="single"/>
            <w:rtl w:val="0"/>
          </w:rPr>
          <w:t xml:space="preserve">https://doi.org/10.1037/pst0000162</w:t>
        </w:r>
      </w:hyperlink>
      <w:r w:rsidDel="00000000" w:rsidR="00000000" w:rsidRPr="00000000">
        <w:rPr>
          <w:rtl w:val="0"/>
        </w:rPr>
      </w:r>
    </w:p>
    <w:p w:rsidR="00000000" w:rsidDel="00000000" w:rsidP="00000000" w:rsidRDefault="00000000" w:rsidRPr="00000000" w14:paraId="0000000E">
      <w:pPr>
        <w:spacing w:line="48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37/pst0000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