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Terah Partridge</w:t>
      </w:r>
    </w:p>
    <w:p w:rsidR="00000000" w:rsidDel="00000000" w:rsidP="00000000" w:rsidRDefault="00000000" w:rsidRPr="00000000" w14:paraId="00000002">
      <w:pPr>
        <w:rPr/>
      </w:pPr>
      <w:r w:rsidDel="00000000" w:rsidR="00000000" w:rsidRPr="00000000">
        <w:rPr>
          <w:rtl w:val="0"/>
        </w:rPr>
        <w:t xml:space="preserve">5/14/26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u w:val="single"/>
        </w:rPr>
      </w:pPr>
      <w:r w:rsidDel="00000000" w:rsidR="00000000" w:rsidRPr="00000000">
        <w:rPr>
          <w:u w:val="single"/>
          <w:rtl w:val="0"/>
        </w:rPr>
        <w:t xml:space="preserve">Reflective Narrative: Marginalized Groups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Creating and revising my Marginalized Group Career Counseling Paper deepened my understanding of the dispositional value of Acceptance and challenged me to reflect on how counselors can create inclusive, equitable, and empowering environments for marginalized populations. This artifact focused on career counseling for individuals with disabilities and allowed me to examine the systemic barriers, discrimination, and inequities many disabled individuals face in employment and mental health settings. Through instructor feedback and personal reflection, I strengthened my ability to approach counseling from a more culturally responsive, strength-based, and advocacy-oriented perspective.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One purposeful revision I made to this artifact involved shifting the language and overall framework away from a deficit-based perspective and toward a strengths-based and person-centered approach. Initially, my paper focused heavily on barriers and limitations experienced by disabled individuals. After reviewing feedback and reflecting on ethical counseling principles, I revised the paper to emphasize autonomy, capability, resilience, and environmental fit rather than impairment. This revision aligned more closely with the Minnesota Theory of Work Adjustment and helped me better understand the importance of acceptance in counseling practice. I recognized that acceptance means valuing clients as whole individuals rather than defining them by diagnoses, disabilities, or perceived limitations.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As both a counselor-in-training and a former special education teacher, this assignment also encouraged me to examine my own assumptions and biases. My experiences working with students with disabilities and parenting a child on the autism spectrum have given me insight into the impact of advocacy and support systems. However, this paper helped me recognize that genuine acceptance requires more than empathy; it requires intentional efforts to remove barriers, challenge systemic inequities, and empower clients to define success for themselves. I became more aware of how societal attitudes and inaccessible systems can negatively affect both career development and mental health outcomes.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learning was reinforced through research demonstrating the disparities faced by disabled individuals in mental health care and employment access. As noted by Longhurst and Wayne Stanley Full (2023), “Evidence indicates that, compared with their non-disabled counterparts, disabled people are likely to face greater mental health challenges as well as significant inequalities in accessing appropriate therapeutic support.” This quote reinforced the importance of culturally responsive counseling practices that promote dignity, accessibility, and inclusion for marginalized populations.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Through this artifact, I also strengthened my understanding of the ACA Code of Ethics standards related to avoiding harm and respecting client diversity. ACA standards A.4.a and A.4.b emphasize the counselor’s responsibility to act in ways that promote client welfare while remaining aware of personal values and biases. Developing this paper challenged me to evaluate how counselor attitudes, workplace systems, and community structures can either support or unintentionally marginalize clients. I learned that acceptance involves ongoing self-awareness, humility, and willingness to advocate for social justice within counseling and community settings.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Additionally, this artifact supported growth in CACREP competencies related to culturally relevant career counseling strategies and multicultural counseling skills. I developed a stronger understanding of how career counseling theories and interventions must be adapted to meet the unique needs of diverse populations. My revisions reflected greater intentionality in incorporating advocacy, accessibility, spirituality, and individualized support into career counseling interventions.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As I continue developing as a counselor, I recognize that acceptance is an ongoing process requiring continual self-reflection, cultural humility, and professional growth. Moving forward, I want to continue strengthening my ability to create safe, affirming therapeutic environments for clients whose experiences differ from my own. I also hope to continue advocating for inclusive systems that promote equal opportunities and reduce barriers for marginalized individuals.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Reference: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Longhurst, P., &amp; Wayne Stanley Full. (2023). Disabled people’s perceptions and experiences of accessing and receiving counselling and psychotherapy: a scoping review protocol. </w:t>
      </w:r>
      <w:r w:rsidDel="00000000" w:rsidR="00000000" w:rsidRPr="00000000">
        <w:rPr>
          <w:rFonts w:ascii="Times New Roman" w:cs="Times New Roman" w:eastAsia="Times New Roman" w:hAnsi="Times New Roman"/>
          <w:i w:val="1"/>
          <w:iCs w:val="1"/>
          <w:sz w:val="24"/>
          <w:szCs w:val="24"/>
          <w:rtl w:val="0"/>
        </w:rPr>
        <w:t xml:space="preserve">BMJ Open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(6), e069204–e069204. </w:t>
      </w:r>
      <w:hyperlink r:id="rId6">
        <w:r w:rsidDel="00000000" w:rsidR="00000000" w:rsidRPr="00000000">
          <w:rPr>
            <w:rFonts w:ascii="Times New Roman" w:cs="Times New Roman" w:eastAsia="Times New Roman" w:hAnsi="Times New Roman"/>
            <w:color w:val="1155cc"/>
            <w:sz w:val="24"/>
            <w:szCs w:val="24"/>
            <w:u w:val="single"/>
            <w:rtl w:val="0"/>
          </w:rPr>
          <w:t xml:space="preserve">https://doi.org/10.1136/bmjopen-2022-069204</w:t>
        </w:r>
      </w:hyperlink>
      <w:r w:rsidDel="00000000" w:rsidR="00000000" w:rsidRPr="00000000">
        <w:rPr>
          <w:rtl w:val="0"/>
        </w:rPr>
      </w:r>
    </w:p>
    <w:p w:rsidR="00000000" w:rsidDel="00000000" w:rsidP="00000000" w:rsidRDefault="00000000" w:rsidRPr="00000000" w14:paraId="00000017">
      <w:pPr>
        <w:spacing w:line="48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136/bmjopen-2022-069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